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76CC1">
      <w:pPr>
        <w:spacing w:after="0" w:line="240" w:lineRule="auto"/>
        <w:jc w:val="center"/>
        <w:rPr>
          <w:rFonts w:ascii="Times New Roman" w:hAnsi="Times New Roman"/>
          <w:b/>
          <w:sz w:val="24"/>
          <w:szCs w:val="24"/>
        </w:rPr>
      </w:pPr>
      <w:r>
        <w:rPr>
          <w:rFonts w:ascii="Times New Roman" w:hAnsi="Times New Roman"/>
          <w:b/>
          <w:sz w:val="24"/>
          <w:szCs w:val="24"/>
        </w:rPr>
        <w:t xml:space="preserve">Las Comunidades Eclesiales de Base: </w:t>
      </w:r>
    </w:p>
    <w:p w:rsidR="00000000" w:rsidRDefault="00A76CC1">
      <w:pPr>
        <w:spacing w:after="0" w:line="240" w:lineRule="auto"/>
        <w:jc w:val="center"/>
        <w:rPr>
          <w:rFonts w:ascii="Times New Roman" w:hAnsi="Times New Roman"/>
          <w:b/>
          <w:sz w:val="24"/>
          <w:szCs w:val="24"/>
          <w:lang w:val="es-ES_tradnl"/>
        </w:rPr>
      </w:pPr>
      <w:r>
        <w:rPr>
          <w:rFonts w:ascii="Times New Roman" w:hAnsi="Times New Roman"/>
          <w:b/>
          <w:sz w:val="24"/>
          <w:szCs w:val="24"/>
          <w:lang w:val="es-ES_tradnl"/>
        </w:rPr>
        <w:t xml:space="preserve">la mejor síntesis entre el Vaticano II y </w:t>
      </w:r>
      <w:r>
        <w:rPr>
          <w:rFonts w:ascii="Times New Roman" w:hAnsi="Times New Roman"/>
          <w:b/>
          <w:sz w:val="24"/>
          <w:szCs w:val="24"/>
          <w:lang w:val="es-ES_tradnl"/>
        </w:rPr>
        <w:t>la Teología latinoamericana de la liberación.</w:t>
      </w:r>
    </w:p>
    <w:p w:rsidR="00000000" w:rsidRDefault="00A76CC1">
      <w:pPr>
        <w:spacing w:after="0" w:line="240" w:lineRule="auto"/>
        <w:jc w:val="right"/>
        <w:rPr>
          <w:rFonts w:ascii="Times New Roman" w:hAnsi="Times New Roman"/>
          <w:b/>
          <w:sz w:val="24"/>
          <w:szCs w:val="24"/>
          <w:lang w:val="es-ES_tradnl"/>
        </w:rPr>
      </w:pPr>
    </w:p>
    <w:p w:rsidR="00000000" w:rsidRDefault="00A76CC1">
      <w:pPr>
        <w:spacing w:after="0" w:line="240" w:lineRule="auto"/>
        <w:jc w:val="right"/>
        <w:rPr>
          <w:rFonts w:ascii="Times New Roman" w:hAnsi="Times New Roman"/>
          <w:sz w:val="24"/>
          <w:szCs w:val="24"/>
        </w:rPr>
      </w:pPr>
      <w:r>
        <w:rPr>
          <w:rFonts w:ascii="Times New Roman" w:hAnsi="Times New Roman"/>
          <w:sz w:val="24"/>
          <w:szCs w:val="24"/>
        </w:rPr>
        <w:t>por Sérgio Ricardo Coutinho</w:t>
      </w:r>
      <w:r>
        <w:rPr>
          <w:rStyle w:val="Smbolodenotaalpie"/>
          <w:rFonts w:ascii="Times New Roman" w:hAnsi="Times New Roman"/>
          <w:sz w:val="24"/>
          <w:szCs w:val="24"/>
        </w:rPr>
        <w:footnoteReference w:id="1"/>
      </w:r>
    </w:p>
    <w:p w:rsidR="00000000" w:rsidRDefault="00A76CC1">
      <w:pPr>
        <w:spacing w:after="0" w:line="240" w:lineRule="auto"/>
        <w:jc w:val="right"/>
        <w:rPr>
          <w:rFonts w:ascii="Times New Roman" w:hAnsi="Times New Roman"/>
          <w:sz w:val="24"/>
          <w:szCs w:val="24"/>
        </w:rPr>
      </w:pPr>
    </w:p>
    <w:p w:rsidR="00000000" w:rsidRDefault="00A76CC1">
      <w:pPr>
        <w:spacing w:after="0" w:line="240" w:lineRule="auto"/>
        <w:jc w:val="right"/>
        <w:rPr>
          <w:rFonts w:ascii="Times New Roman" w:hAnsi="Times New Roman"/>
          <w:i/>
          <w:sz w:val="24"/>
          <w:szCs w:val="24"/>
          <w:lang w:val="es-ES_tradnl"/>
        </w:rPr>
      </w:pPr>
      <w:r>
        <w:rPr>
          <w:rFonts w:ascii="Times New Roman" w:hAnsi="Times New Roman"/>
          <w:i/>
          <w:sz w:val="24"/>
          <w:szCs w:val="24"/>
          <w:lang w:val="es-ES_tradnl"/>
        </w:rPr>
        <w:t>Traducción de Juan Ángel Dieuzeide – San Carlos de Bariloche, Argentina)</w:t>
      </w:r>
    </w:p>
    <w:p w:rsidR="00000000" w:rsidRDefault="00A76CC1">
      <w:pPr>
        <w:spacing w:after="0" w:line="240" w:lineRule="auto"/>
        <w:jc w:val="both"/>
        <w:rPr>
          <w:rFonts w:ascii="Times New Roman" w:hAnsi="Times New Roman"/>
          <w:sz w:val="24"/>
          <w:szCs w:val="24"/>
          <w:lang w:val="es-ES_tradnl"/>
        </w:rPr>
      </w:pPr>
    </w:p>
    <w:p w:rsidR="00000000" w:rsidRDefault="00A76CC1">
      <w:pPr>
        <w:spacing w:after="0"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 xml:space="preserve">A pesar de la implantación </w:t>
      </w:r>
      <w:r>
        <w:rPr>
          <w:rFonts w:ascii="Times New Roman" w:hAnsi="Times New Roman"/>
          <w:sz w:val="24"/>
          <w:szCs w:val="24"/>
          <w:lang w:val="es-ES_tradnl"/>
        </w:rPr>
        <w:t>de una gran estructura eclesiástica (diócesis, parroquias, órdenes religiosas, Inquisición...) en toda América hispánica,</w:t>
      </w:r>
      <w:r>
        <w:rPr>
          <w:rFonts w:ascii="Times New Roman" w:hAnsi="Times New Roman"/>
          <w:sz w:val="24"/>
          <w:szCs w:val="24"/>
          <w:lang w:val="es-ES_tradnl"/>
        </w:rPr>
        <w:t xml:space="preserve"> después del Concilio de Trento (1565) (talvez con menor intensidad en la América portuguesa), lo que prevaleció fue, sin duda ninguna,</w:t>
      </w:r>
      <w:r>
        <w:rPr>
          <w:rFonts w:ascii="Times New Roman" w:hAnsi="Times New Roman"/>
          <w:sz w:val="24"/>
          <w:szCs w:val="24"/>
          <w:lang w:val="es-ES_tradnl"/>
        </w:rPr>
        <w:t xml:space="preserve"> una intensa práctica popular del catolicismo; un catolicismo donde el laico y la laica fueron sujetos en la organización de las “estructuras” necesarias para sus devociones: Hermandades, capillas, rezadoras y rezadores, romerías, etc. </w:t>
      </w:r>
    </w:p>
    <w:p w:rsidR="00000000" w:rsidRDefault="00A76CC1">
      <w:pPr>
        <w:spacing w:after="0"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Podríamos decir que</w:t>
      </w:r>
      <w:r>
        <w:rPr>
          <w:rFonts w:ascii="Times New Roman" w:hAnsi="Times New Roman"/>
          <w:sz w:val="24"/>
          <w:szCs w:val="24"/>
          <w:lang w:val="es-ES_tradnl"/>
        </w:rPr>
        <w:t xml:space="preserve"> en estas prácticas del catolicismo popular estarían los orígenes remotos de una experiencia eclesial de las más significativas en todo nuestro continente en el período postconciliar: las Comunidades Eclesiales de Base (CEBs). Podemos afirmar con toda cert</w:t>
      </w:r>
      <w:r>
        <w:rPr>
          <w:rFonts w:ascii="Times New Roman" w:hAnsi="Times New Roman"/>
          <w:sz w:val="24"/>
          <w:szCs w:val="24"/>
          <w:lang w:val="es-ES_tradnl"/>
        </w:rPr>
        <w:t>eza que, aún antes de la eclesiología del Concilio Vaticano II, nuestro pueblo, por medio de sus prácticas religiosas, ya se sentía miembro del Pueblo de Dios porque ser bautizado era la condición mínima necesaria para participar de la vida de la Iglesia.</w:t>
      </w:r>
    </w:p>
    <w:p w:rsidR="00000000" w:rsidRDefault="00A76CC1">
      <w:pPr>
        <w:spacing w:after="0"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A</w:t>
      </w:r>
      <w:r>
        <w:rPr>
          <w:rFonts w:ascii="Times New Roman" w:hAnsi="Times New Roman"/>
          <w:sz w:val="24"/>
          <w:szCs w:val="24"/>
          <w:lang w:val="es-ES_tradnl"/>
        </w:rPr>
        <w:t xml:space="preserve">demás de este origen más remoto, las CEBs también son el resultado de otras importantes experiencias eclesiales. No se puede negar todo el trabajo desarrollado en nuestro continente por la </w:t>
      </w:r>
      <w:r>
        <w:rPr>
          <w:rFonts w:ascii="Times New Roman" w:hAnsi="Times New Roman"/>
          <w:i/>
          <w:sz w:val="24"/>
          <w:szCs w:val="24"/>
          <w:lang w:val="es-ES_tradnl"/>
        </w:rPr>
        <w:t>Acción Católica Especializada</w:t>
      </w:r>
      <w:r>
        <w:rPr>
          <w:rFonts w:ascii="Times New Roman" w:hAnsi="Times New Roman"/>
          <w:sz w:val="24"/>
          <w:szCs w:val="24"/>
          <w:lang w:val="es-ES_tradnl"/>
        </w:rPr>
        <w:t xml:space="preserve"> (ACE), de modo especial de la Juvent</w:t>
      </w:r>
      <w:r>
        <w:rPr>
          <w:rFonts w:ascii="Times New Roman" w:hAnsi="Times New Roman"/>
          <w:sz w:val="24"/>
          <w:szCs w:val="24"/>
          <w:lang w:val="es-ES_tradnl"/>
        </w:rPr>
        <w:t xml:space="preserve">ud Obrera Católica (JOC), de la Juventud Universitaria Católica (JUC) y de la Juventud Estudiantil Católica (JEC). Con su método pastoral (ver, juzgar y actuar) y la fuerte participación de los jóvenes laicos, la ACE trajo los elementos fundamentales para </w:t>
      </w:r>
      <w:r>
        <w:rPr>
          <w:rFonts w:ascii="Times New Roman" w:hAnsi="Times New Roman"/>
          <w:sz w:val="24"/>
          <w:szCs w:val="24"/>
          <w:lang w:val="es-ES_tradnl"/>
        </w:rPr>
        <w:t xml:space="preserve">la futura sistematización de la Teología de la Liberación (las mediaciones: socio-analítica, hermenéutica y de la praxis). </w:t>
      </w:r>
    </w:p>
    <w:p w:rsidR="00000000" w:rsidRDefault="00A76CC1">
      <w:pPr>
        <w:spacing w:after="0"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Por otro lado, en la tentativa de renovar las parroquias a partir de la eclesiología del Cuerpo Místico de Cristo (</w:t>
      </w:r>
      <w:r>
        <w:rPr>
          <w:rFonts w:ascii="Times New Roman" w:hAnsi="Times New Roman"/>
          <w:i/>
          <w:sz w:val="24"/>
          <w:szCs w:val="24"/>
          <w:lang w:val="es-ES_tradnl"/>
        </w:rPr>
        <w:t>Mystici Corporis</w:t>
      </w:r>
      <w:r>
        <w:rPr>
          <w:rFonts w:ascii="Times New Roman" w:hAnsi="Times New Roman"/>
          <w:sz w:val="24"/>
          <w:szCs w:val="24"/>
          <w:lang w:val="es-ES_tradnl"/>
        </w:rPr>
        <w:t xml:space="preserve"> </w:t>
      </w:r>
      <w:r>
        <w:rPr>
          <w:rFonts w:ascii="Times New Roman" w:hAnsi="Times New Roman"/>
          <w:sz w:val="24"/>
          <w:szCs w:val="24"/>
          <w:lang w:val="es-ES_tradnl"/>
        </w:rPr>
        <w:t xml:space="preserve">de Pío XII), el </w:t>
      </w:r>
      <w:r>
        <w:rPr>
          <w:rFonts w:ascii="Times New Roman" w:hAnsi="Times New Roman"/>
          <w:i/>
          <w:sz w:val="24"/>
          <w:szCs w:val="24"/>
          <w:lang w:val="es-ES_tradnl"/>
        </w:rPr>
        <w:t>Movimiento por un Mundo Mejor</w:t>
      </w:r>
      <w:r>
        <w:rPr>
          <w:rFonts w:ascii="Times New Roman" w:hAnsi="Times New Roman"/>
          <w:sz w:val="24"/>
          <w:szCs w:val="24"/>
          <w:lang w:val="es-ES_tradnl"/>
        </w:rPr>
        <w:t xml:space="preserve"> (MMM), en muchas diócesis, favoreció el desarrollo de “otro modo de </w:t>
      </w:r>
      <w:r>
        <w:rPr>
          <w:rFonts w:ascii="Times New Roman" w:hAnsi="Times New Roman"/>
          <w:sz w:val="24"/>
          <w:szCs w:val="24"/>
          <w:lang w:val="es-ES_tradnl"/>
        </w:rPr>
        <w:lastRenderedPageBreak/>
        <w:t>ser Iglesia” con respecto a lo que hasta entonces se conocía y se vivía: un modo donde los laicos eran sujetos en la vida social, política y e</w:t>
      </w:r>
      <w:r>
        <w:rPr>
          <w:rFonts w:ascii="Times New Roman" w:hAnsi="Times New Roman"/>
          <w:sz w:val="24"/>
          <w:szCs w:val="24"/>
          <w:lang w:val="es-ES_tradnl"/>
        </w:rPr>
        <w:t>clesial; la gran mayoría de ellos (si no todos) eran pobres y vivían en las periferias de las grandes ciudades y en los poblados rurales más aislados de este continente; celebraban su fe según sus tradiciones y culturas, y se experimentaba concretamente aq</w:t>
      </w:r>
      <w:r>
        <w:rPr>
          <w:rFonts w:ascii="Times New Roman" w:hAnsi="Times New Roman"/>
          <w:sz w:val="24"/>
          <w:szCs w:val="24"/>
          <w:lang w:val="es-ES_tradnl"/>
        </w:rPr>
        <w:t xml:space="preserve">uello que era la experiencia común de las primeras comunidades cristianas: el compartir y la acogida a los más pobres. </w:t>
      </w:r>
    </w:p>
    <w:p w:rsidR="00000000" w:rsidRDefault="00A76CC1">
      <w:pPr>
        <w:spacing w:after="0"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w:t>
      </w:r>
      <w:r>
        <w:rPr>
          <w:rFonts w:ascii="Times New Roman" w:hAnsi="Times New Roman"/>
          <w:sz w:val="24"/>
          <w:szCs w:val="24"/>
          <w:lang w:val="es-ES_tradnl"/>
        </w:rPr>
        <w:t>Estas son las CEBs! ¡Que con su vida concreta en medio de los pobres anuncia que el Reino de Dios está próximo! Por eso fueron (y todav</w:t>
      </w:r>
      <w:r>
        <w:rPr>
          <w:rFonts w:ascii="Times New Roman" w:hAnsi="Times New Roman"/>
          <w:sz w:val="24"/>
          <w:szCs w:val="24"/>
          <w:lang w:val="es-ES_tradnl"/>
        </w:rPr>
        <w:t>ía son) ellas las que proporcionaron las condiciones para el desarrollo de la Teología de la Liberación.</w:t>
      </w:r>
    </w:p>
    <w:p w:rsidR="00000000" w:rsidRDefault="00A76CC1">
      <w:pPr>
        <w:spacing w:after="0" w:line="360" w:lineRule="auto"/>
        <w:ind w:firstLine="708"/>
        <w:jc w:val="both"/>
        <w:rPr>
          <w:rFonts w:ascii="Times New Roman" w:hAnsi="Times New Roman"/>
          <w:sz w:val="24"/>
          <w:szCs w:val="24"/>
          <w:lang w:val="es-ES_tradnl"/>
        </w:rPr>
      </w:pPr>
      <w:r>
        <w:rPr>
          <w:rFonts w:ascii="Times New Roman" w:hAnsi="Times New Roman"/>
          <w:sz w:val="24"/>
          <w:szCs w:val="24"/>
          <w:lang w:val="es-ES_tradnl"/>
        </w:rPr>
        <w:t>Por eso, las Comunidades Eclesiales de Base son la mejor síntesis entre el Vaticano II y la Teología latinoamericana de la Liberación.</w:t>
      </w:r>
    </w:p>
    <w:p w:rsidR="00A76CC1" w:rsidRDefault="00A76CC1"/>
    <w:sectPr w:rsidR="00A76CC1">
      <w:headerReference w:type="default" r:id="rId6"/>
      <w:headerReference w:type="first" r:id="rId7"/>
      <w:pgSz w:w="11905" w:h="16837"/>
      <w:pgMar w:top="1417" w:right="1701" w:bottom="1417" w:left="1701"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CC1" w:rsidRDefault="00A76CC1">
      <w:pPr>
        <w:spacing w:after="0" w:line="240" w:lineRule="auto"/>
      </w:pPr>
      <w:r>
        <w:separator/>
      </w:r>
    </w:p>
  </w:endnote>
  <w:endnote w:type="continuationSeparator" w:id="0">
    <w:p w:rsidR="00A76CC1" w:rsidRDefault="00A76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CC1" w:rsidRDefault="00A76CC1">
      <w:pPr>
        <w:spacing w:after="0" w:line="240" w:lineRule="auto"/>
      </w:pPr>
      <w:r>
        <w:separator/>
      </w:r>
    </w:p>
  </w:footnote>
  <w:footnote w:type="continuationSeparator" w:id="0">
    <w:p w:rsidR="00A76CC1" w:rsidRDefault="00A76CC1">
      <w:pPr>
        <w:spacing w:after="0" w:line="240" w:lineRule="auto"/>
      </w:pPr>
      <w:r>
        <w:continuationSeparator/>
      </w:r>
    </w:p>
  </w:footnote>
  <w:footnote w:id="1">
    <w:p w:rsidR="00000000" w:rsidRDefault="00A76CC1">
      <w:pPr>
        <w:pStyle w:val="Textonotapie"/>
        <w:jc w:val="both"/>
        <w:rPr>
          <w:rFonts w:ascii="Times New Roman" w:hAnsi="Times New Roman"/>
          <w:lang w:val="es-ES_tradnl"/>
        </w:rPr>
      </w:pPr>
      <w:r>
        <w:rPr>
          <w:rStyle w:val="Smbolodenotaalpie"/>
          <w:rFonts w:ascii="Times New Roman" w:hAnsi="Times New Roman"/>
        </w:rPr>
        <w:footnoteRef/>
      </w:r>
      <w:r>
        <w:rPr>
          <w:rFonts w:ascii="Times New Roman" w:hAnsi="Times New Roman"/>
          <w:lang w:val="es-ES_tradnl"/>
        </w:rPr>
        <w:tab/>
        <w:t xml:space="preserve"> </w:t>
      </w:r>
      <w:r>
        <w:rPr>
          <w:rFonts w:ascii="Times New Roman" w:hAnsi="Times New Roman"/>
          <w:lang w:val="es-ES_tradnl"/>
        </w:rPr>
        <w:t>Laico, casad</w:t>
      </w:r>
      <w:r>
        <w:rPr>
          <w:rFonts w:ascii="Times New Roman" w:hAnsi="Times New Roman"/>
          <w:lang w:val="es-ES_tradnl"/>
        </w:rPr>
        <w:t>o con Patricia, padre de 4 hijos (Elisa, Natália, Tiago y João), profesor universitario, presidente del Centro de Estudios de Historia de la Iglesia en América Latina (CEHILA-Brasil) y  asesor de la Comisión Episcopal Pastoral para el Laicado de la Confere</w:t>
      </w:r>
      <w:r>
        <w:rPr>
          <w:rFonts w:ascii="Times New Roman" w:hAnsi="Times New Roman"/>
          <w:lang w:val="es-ES_tradnl"/>
        </w:rPr>
        <w:t>ncia Nacional de los Obispos del Brasil (CNBB).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6CC1">
    <w:pPr>
      <w:pStyle w:val="Encabezado"/>
      <w:jc w:val="right"/>
    </w:pPr>
    <w:r>
      <w:fldChar w:fldCharType="begin"/>
    </w:r>
    <w:r>
      <w:instrText xml:space="preserve"> PAGE </w:instrText>
    </w:r>
    <w:r>
      <w:fldChar w:fldCharType="separate"/>
    </w:r>
    <w:r w:rsidR="00CE6BFD">
      <w:rPr>
        <w:noProof/>
      </w:rPr>
      <w:t>2</w:t>
    </w:r>
    <w:r>
      <w:fldChar w:fldCharType="end"/>
    </w:r>
  </w:p>
  <w:p w:rsidR="00000000" w:rsidRDefault="00A76CC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6CC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CE6BFD"/>
    <w:rsid w:val="00A76CC1"/>
    <w:rsid w:val="00CE6B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val="pt-BR"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CarCar2">
    <w:name w:val=" Car Car2"/>
    <w:rPr>
      <w:rFonts w:ascii="Calibri" w:eastAsia="Calibri" w:hAnsi="Calibri"/>
      <w:lang w:val="pt-BR" w:eastAsia="ar-SA" w:bidi="ar-SA"/>
    </w:rPr>
  </w:style>
  <w:style w:type="character" w:customStyle="1" w:styleId="Smbolodenotaalpie">
    <w:name w:val="Símbolo de nota al pie"/>
    <w:rPr>
      <w:vertAlign w:val="superscript"/>
    </w:rPr>
  </w:style>
  <w:style w:type="character" w:customStyle="1" w:styleId="CarCar1">
    <w:name w:val=" Car Car1"/>
    <w:rPr>
      <w:rFonts w:ascii="Calibri" w:eastAsia="Calibri" w:hAnsi="Calibri"/>
      <w:sz w:val="22"/>
      <w:szCs w:val="22"/>
      <w:lang w:val="pt-BR" w:eastAsia="ar-SA" w:bidi="ar-SA"/>
    </w:rP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notapie">
    <w:name w:val="footnote text"/>
    <w:basedOn w:val="Normal"/>
    <w:semiHidden/>
    <w:rPr>
      <w:sz w:val="20"/>
      <w:szCs w:val="20"/>
    </w:rPr>
  </w:style>
  <w:style w:type="paragraph" w:styleId="Encabezado">
    <w:name w:val="header"/>
    <w:basedOn w:val="Normal"/>
    <w:semiHidden/>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2587</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cp:lastModifiedBy>HP Cliente Preferencial</cp:lastModifiedBy>
  <cp:revision>2</cp:revision>
  <cp:lastPrinted>1601-01-01T00:00:00Z</cp:lastPrinted>
  <dcterms:created xsi:type="dcterms:W3CDTF">2012-09-20T15:40:00Z</dcterms:created>
  <dcterms:modified xsi:type="dcterms:W3CDTF">2012-09-20T15:40:00Z</dcterms:modified>
</cp:coreProperties>
</file>