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0A" w:rsidRDefault="00EC1F17">
      <w:r>
        <w:rPr>
          <w:rFonts w:ascii="Times New Roman" w:eastAsia="Times New Roman" w:hAnsi="Times New Roman"/>
          <w:noProof/>
          <w:color w:val="0000FF"/>
          <w:sz w:val="24"/>
          <w:szCs w:val="24"/>
          <w:lang w:eastAsia="es-ES"/>
        </w:rPr>
        <w:drawing>
          <wp:inline distT="0" distB="0" distL="0" distR="0">
            <wp:extent cx="5400040" cy="639113"/>
            <wp:effectExtent l="19050" t="0" r="0" b="0"/>
            <wp:docPr id="1" name="Imagen 1" descr="Religión Digital">
              <a:hlinkClick xmlns:a="http://schemas.openxmlformats.org/drawingml/2006/main" r:id="rId4" tooltip="&quot;Religión Digi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ligión Digital">
                      <a:hlinkClick r:id="rId4" tooltip="&quot;Religión Digital&quot;"/>
                    </pic:cNvPr>
                    <pic:cNvPicPr>
                      <a:picLocks noChangeAspect="1" noChangeArrowheads="1"/>
                    </pic:cNvPicPr>
                  </pic:nvPicPr>
                  <pic:blipFill>
                    <a:blip r:embed="rId5" cstate="print"/>
                    <a:srcRect/>
                    <a:stretch>
                      <a:fillRect/>
                    </a:stretch>
                  </pic:blipFill>
                  <pic:spPr bwMode="auto">
                    <a:xfrm>
                      <a:off x="0" y="0"/>
                      <a:ext cx="5400040" cy="639113"/>
                    </a:xfrm>
                    <a:prstGeom prst="rect">
                      <a:avLst/>
                    </a:prstGeom>
                    <a:noFill/>
                    <a:ln w="9525">
                      <a:noFill/>
                      <a:miter lim="800000"/>
                      <a:headEnd/>
                      <a:tailEnd/>
                    </a:ln>
                  </pic:spPr>
                </pic:pic>
              </a:graphicData>
            </a:graphic>
          </wp:inline>
        </w:drawing>
      </w:r>
    </w:p>
    <w:p w:rsidR="00EF2D72" w:rsidRDefault="00EF2D72"/>
    <w:p w:rsidR="00EF2D72" w:rsidRPr="00192D50" w:rsidRDefault="00EF2D72" w:rsidP="00EF2D72">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334000" cy="2438400"/>
            <wp:effectExtent l="19050" t="0" r="0" b="0"/>
            <wp:docPr id="2" name="Imagen 2" descr="http://www.periodistadigital.com/imagenes/2012/04/09/queiruga-720-720x241-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2/04/09/queiruga-720-720x241-1-_560x280.jpg"/>
                    <pic:cNvPicPr>
                      <a:picLocks noChangeAspect="1" noChangeArrowheads="1"/>
                    </pic:cNvPicPr>
                  </pic:nvPicPr>
                  <pic:blipFill>
                    <a:blip r:embed="rId6" cstate="print"/>
                    <a:srcRect/>
                    <a:stretch>
                      <a:fillRect/>
                    </a:stretch>
                  </pic:blipFill>
                  <pic:spPr bwMode="auto">
                    <a:xfrm>
                      <a:off x="0" y="0"/>
                      <a:ext cx="5334000" cy="2438400"/>
                    </a:xfrm>
                    <a:prstGeom prst="rect">
                      <a:avLst/>
                    </a:prstGeom>
                    <a:noFill/>
                    <a:ln w="9525">
                      <a:noFill/>
                      <a:miter lim="800000"/>
                      <a:headEnd/>
                      <a:tailEnd/>
                    </a:ln>
                  </pic:spPr>
                </pic:pic>
              </a:graphicData>
            </a:graphic>
          </wp:inline>
        </w:drawing>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Andrés Torres </w:t>
      </w:r>
      <w:proofErr w:type="spellStart"/>
      <w:r w:rsidRPr="00192D50">
        <w:rPr>
          <w:rFonts w:ascii="Times New Roman" w:eastAsia="Times New Roman" w:hAnsi="Times New Roman" w:cs="Times New Roman"/>
          <w:sz w:val="24"/>
          <w:szCs w:val="24"/>
          <w:lang w:eastAsia="es-ES"/>
        </w:rPr>
        <w:t>Queiruga</w:t>
      </w:r>
      <w:proofErr w:type="spellEnd"/>
    </w:p>
    <w:p w:rsidR="00EF2D72" w:rsidRPr="00192D50" w:rsidRDefault="00EF2D72" w:rsidP="00EF2D72">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proofErr w:type="spellStart"/>
      <w:r w:rsidRPr="00192D50">
        <w:rPr>
          <w:rFonts w:ascii="Times New Roman" w:eastAsia="Times New Roman" w:hAnsi="Times New Roman" w:cs="Times New Roman"/>
          <w:b/>
          <w:bCs/>
          <w:sz w:val="27"/>
          <w:szCs w:val="27"/>
          <w:lang w:eastAsia="es-ES"/>
        </w:rPr>
        <w:t>Queiruga</w:t>
      </w:r>
      <w:proofErr w:type="spellEnd"/>
      <w:r w:rsidRPr="00192D50">
        <w:rPr>
          <w:rFonts w:ascii="Times New Roman" w:eastAsia="Times New Roman" w:hAnsi="Times New Roman" w:cs="Times New Roman"/>
          <w:b/>
          <w:bCs/>
          <w:sz w:val="27"/>
          <w:szCs w:val="27"/>
          <w:lang w:eastAsia="es-ES"/>
        </w:rPr>
        <w:t xml:space="preserve"> en el Congreso Continental de Teología</w:t>
      </w:r>
    </w:p>
    <w:p w:rsidR="00EF2D72" w:rsidRPr="00192D50" w:rsidRDefault="00EF2D72" w:rsidP="00EF2D72">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192D50">
        <w:rPr>
          <w:rFonts w:ascii="Times New Roman" w:eastAsia="Times New Roman" w:hAnsi="Times New Roman" w:cs="Times New Roman"/>
          <w:b/>
          <w:bCs/>
          <w:sz w:val="36"/>
          <w:szCs w:val="36"/>
          <w:lang w:eastAsia="es-ES"/>
        </w:rPr>
        <w:t>"La Iglesia ha perdido el paso en el acompañamiento de los cambios culturales"</w:t>
      </w:r>
    </w:p>
    <w:p w:rsidR="00EF2D72" w:rsidRPr="00192D50" w:rsidRDefault="00EF2D72" w:rsidP="00EF2D72">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192D50">
        <w:rPr>
          <w:rFonts w:ascii="Times New Roman" w:eastAsia="Times New Roman" w:hAnsi="Times New Roman" w:cs="Times New Roman"/>
          <w:b/>
          <w:bCs/>
          <w:sz w:val="24"/>
          <w:szCs w:val="24"/>
          <w:lang w:eastAsia="es-ES"/>
        </w:rPr>
        <w:t>"A pesar de todo, Dios está dentro de la Iglesia"</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Invitado a disertar sobre "Teología y nuevos paradigmas", el profesor Dr. </w:t>
      </w:r>
      <w:r w:rsidRPr="00192D50">
        <w:rPr>
          <w:rFonts w:ascii="Times New Roman" w:eastAsia="Times New Roman" w:hAnsi="Times New Roman" w:cs="Times New Roman"/>
          <w:b/>
          <w:bCs/>
          <w:sz w:val="24"/>
          <w:szCs w:val="24"/>
          <w:lang w:eastAsia="es-ES"/>
        </w:rPr>
        <w:t xml:space="preserve">Andrés Torres </w:t>
      </w:r>
      <w:proofErr w:type="spellStart"/>
      <w:r w:rsidRPr="00192D50">
        <w:rPr>
          <w:rFonts w:ascii="Times New Roman" w:eastAsia="Times New Roman" w:hAnsi="Times New Roman" w:cs="Times New Roman"/>
          <w:b/>
          <w:bCs/>
          <w:sz w:val="24"/>
          <w:szCs w:val="24"/>
          <w:lang w:eastAsia="es-ES"/>
        </w:rPr>
        <w:t>Queiruga</w:t>
      </w:r>
      <w:proofErr w:type="spellEnd"/>
      <w:r w:rsidRPr="00192D50">
        <w:rPr>
          <w:rFonts w:ascii="Times New Roman" w:eastAsia="Times New Roman" w:hAnsi="Times New Roman" w:cs="Times New Roman"/>
          <w:sz w:val="24"/>
          <w:szCs w:val="24"/>
          <w:lang w:eastAsia="es-ES"/>
        </w:rPr>
        <w:t xml:space="preserve">, de la Universidad de Santiago de Compostela, inició su conferencia ayer por la mañana, en el </w:t>
      </w:r>
      <w:r w:rsidRPr="00192D50">
        <w:rPr>
          <w:rFonts w:ascii="Times New Roman" w:eastAsia="Times New Roman" w:hAnsi="Times New Roman" w:cs="Times New Roman"/>
          <w:b/>
          <w:bCs/>
          <w:sz w:val="24"/>
          <w:szCs w:val="24"/>
          <w:lang w:eastAsia="es-ES"/>
        </w:rPr>
        <w:t>Congreso Continental de Teología</w:t>
      </w:r>
      <w:r w:rsidRPr="00192D50">
        <w:rPr>
          <w:rFonts w:ascii="Times New Roman" w:eastAsia="Times New Roman" w:hAnsi="Times New Roman" w:cs="Times New Roman"/>
          <w:sz w:val="24"/>
          <w:szCs w:val="24"/>
          <w:lang w:eastAsia="es-ES"/>
        </w:rPr>
        <w:t>, avisando al público que abordaría como tema: la Teología y la Iglesia después del Concilio Vaticano II.</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El conferencista dividió su exposición en tres puntos: "la orientación objetiva del Concilio; los grandes temas de la teología postconciliar; y el futuro, las tareas y las esperanzas". Para </w:t>
      </w:r>
      <w:proofErr w:type="spellStart"/>
      <w:r w:rsidRPr="00192D50">
        <w:rPr>
          <w:rFonts w:ascii="Times New Roman" w:eastAsia="Times New Roman" w:hAnsi="Times New Roman" w:cs="Times New Roman"/>
          <w:sz w:val="24"/>
          <w:szCs w:val="24"/>
          <w:lang w:eastAsia="es-ES"/>
        </w:rPr>
        <w:t>Queiruga</w:t>
      </w:r>
      <w:proofErr w:type="spellEnd"/>
      <w:r w:rsidRPr="00192D50">
        <w:rPr>
          <w:rFonts w:ascii="Times New Roman" w:eastAsia="Times New Roman" w:hAnsi="Times New Roman" w:cs="Times New Roman"/>
          <w:sz w:val="24"/>
          <w:szCs w:val="24"/>
          <w:lang w:eastAsia="es-ES"/>
        </w:rPr>
        <w:t xml:space="preserve">, </w:t>
      </w:r>
      <w:r w:rsidRPr="00192D50">
        <w:rPr>
          <w:rFonts w:ascii="Times New Roman" w:eastAsia="Times New Roman" w:hAnsi="Times New Roman" w:cs="Times New Roman"/>
          <w:b/>
          <w:bCs/>
          <w:sz w:val="24"/>
          <w:szCs w:val="24"/>
          <w:lang w:eastAsia="es-ES"/>
        </w:rPr>
        <w:t>el Vaticano II tiene una importancia trascendental</w:t>
      </w:r>
      <w:r w:rsidRPr="00192D50">
        <w:rPr>
          <w:rFonts w:ascii="Times New Roman" w:eastAsia="Times New Roman" w:hAnsi="Times New Roman" w:cs="Times New Roman"/>
          <w:sz w:val="24"/>
          <w:szCs w:val="24"/>
          <w:lang w:eastAsia="es-ES"/>
        </w:rPr>
        <w:t>, cambio de época, que sólo puede percibirse en una perspectiva largo alcance en la historia.</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Para muchas personas, el foco del Vaticano II está la Constitución </w:t>
      </w:r>
      <w:proofErr w:type="spellStart"/>
      <w:r w:rsidRPr="00192D50">
        <w:rPr>
          <w:rFonts w:ascii="Times New Roman" w:eastAsia="Times New Roman" w:hAnsi="Times New Roman" w:cs="Times New Roman"/>
          <w:sz w:val="24"/>
          <w:szCs w:val="24"/>
          <w:lang w:eastAsia="es-ES"/>
        </w:rPr>
        <w:t>Gaudium</w:t>
      </w:r>
      <w:proofErr w:type="spellEnd"/>
      <w:r w:rsidRPr="00192D50">
        <w:rPr>
          <w:rFonts w:ascii="Times New Roman" w:eastAsia="Times New Roman" w:hAnsi="Times New Roman" w:cs="Times New Roman"/>
          <w:sz w:val="24"/>
          <w:szCs w:val="24"/>
          <w:lang w:eastAsia="es-ES"/>
        </w:rPr>
        <w:t xml:space="preserve"> et </w:t>
      </w:r>
      <w:proofErr w:type="spellStart"/>
      <w:r w:rsidRPr="00192D50">
        <w:rPr>
          <w:rFonts w:ascii="Times New Roman" w:eastAsia="Times New Roman" w:hAnsi="Times New Roman" w:cs="Times New Roman"/>
          <w:sz w:val="24"/>
          <w:szCs w:val="24"/>
          <w:lang w:eastAsia="es-ES"/>
        </w:rPr>
        <w:t>Spes</w:t>
      </w:r>
      <w:proofErr w:type="spellEnd"/>
      <w:r w:rsidRPr="00192D50">
        <w:rPr>
          <w:rFonts w:ascii="Times New Roman" w:eastAsia="Times New Roman" w:hAnsi="Times New Roman" w:cs="Times New Roman"/>
          <w:sz w:val="24"/>
          <w:szCs w:val="24"/>
          <w:lang w:eastAsia="es-ES"/>
        </w:rPr>
        <w:t xml:space="preserve">, destacó el ponente. Luego lamentó que </w:t>
      </w:r>
      <w:r w:rsidRPr="00192D50">
        <w:rPr>
          <w:rFonts w:ascii="Times New Roman" w:eastAsia="Times New Roman" w:hAnsi="Times New Roman" w:cs="Times New Roman"/>
          <w:b/>
          <w:bCs/>
          <w:sz w:val="24"/>
          <w:szCs w:val="24"/>
          <w:lang w:eastAsia="es-ES"/>
        </w:rPr>
        <w:t>la Iglesia haya "perdido paso" en el acompañamiento de los cambios culturales</w:t>
      </w:r>
      <w:r w:rsidRPr="00192D50">
        <w:rPr>
          <w:rFonts w:ascii="Times New Roman" w:eastAsia="Times New Roman" w:hAnsi="Times New Roman" w:cs="Times New Roman"/>
          <w:sz w:val="24"/>
          <w:szCs w:val="24"/>
          <w:lang w:eastAsia="es-ES"/>
        </w:rPr>
        <w:t>. "Nos damos cuenta que la Iglesia se coloca contra la cultura, demostrando una inercia institucional, la tendencia a ver las cultura desde el poder, una oposición a la modernidad, la democracia y la libertad".</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lastRenderedPageBreak/>
        <w:t xml:space="preserve">Sin embargo, destacó, no era la Iglesia toda que tomaba esta posición. "Había personas que pensaban diferente. </w:t>
      </w:r>
      <w:r w:rsidRPr="00192D50">
        <w:rPr>
          <w:rFonts w:ascii="Times New Roman" w:eastAsia="Times New Roman" w:hAnsi="Times New Roman" w:cs="Times New Roman"/>
          <w:b/>
          <w:bCs/>
          <w:sz w:val="24"/>
          <w:szCs w:val="24"/>
          <w:lang w:eastAsia="es-ES"/>
        </w:rPr>
        <w:t>A pesar del enfriamiento del Vaticano II</w:t>
      </w:r>
      <w:r w:rsidRPr="00192D50">
        <w:rPr>
          <w:rFonts w:ascii="Times New Roman" w:eastAsia="Times New Roman" w:hAnsi="Times New Roman" w:cs="Times New Roman"/>
          <w:sz w:val="24"/>
          <w:szCs w:val="24"/>
          <w:lang w:eastAsia="es-ES"/>
        </w:rPr>
        <w:t>, había personas que trataban de renovar el debate".</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Felizmente, continúa "</w:t>
      </w:r>
      <w:r w:rsidRPr="00192D50">
        <w:rPr>
          <w:rFonts w:ascii="Times New Roman" w:eastAsia="Times New Roman" w:hAnsi="Times New Roman" w:cs="Times New Roman"/>
          <w:b/>
          <w:bCs/>
          <w:sz w:val="24"/>
          <w:szCs w:val="24"/>
          <w:lang w:eastAsia="es-ES"/>
        </w:rPr>
        <w:t>la teología no se resignó, pero tenía que esconderse un poco.</w:t>
      </w:r>
      <w:r w:rsidRPr="00192D50">
        <w:rPr>
          <w:rFonts w:ascii="Times New Roman" w:eastAsia="Times New Roman" w:hAnsi="Times New Roman" w:cs="Times New Roman"/>
          <w:sz w:val="24"/>
          <w:szCs w:val="24"/>
          <w:lang w:eastAsia="es-ES"/>
        </w:rPr>
        <w:t xml:space="preserve"> En esta situación, nace la teología positiva, como una forma alternativa a la teología oficial, abstracta y escolástica".</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Luego, en los años 1950, el Papa Pío XII había frenado esa corriente [de la teología positiva]. </w:t>
      </w:r>
      <w:r w:rsidRPr="00192D50">
        <w:rPr>
          <w:rFonts w:ascii="Times New Roman" w:eastAsia="Times New Roman" w:hAnsi="Times New Roman" w:cs="Times New Roman"/>
          <w:b/>
          <w:bCs/>
          <w:sz w:val="24"/>
          <w:szCs w:val="24"/>
          <w:lang w:eastAsia="es-ES"/>
        </w:rPr>
        <w:t>"Todo lo que estamos diciendo hoy, en este evento, sería imposible en la época de Pío XII"</w:t>
      </w:r>
      <w:r w:rsidRPr="00192D50">
        <w:rPr>
          <w:rFonts w:ascii="Times New Roman" w:eastAsia="Times New Roman" w:hAnsi="Times New Roman" w:cs="Times New Roman"/>
          <w:sz w:val="24"/>
          <w:szCs w:val="24"/>
          <w:lang w:eastAsia="es-ES"/>
        </w:rPr>
        <w:t>.</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En la visión de </w:t>
      </w:r>
      <w:proofErr w:type="spellStart"/>
      <w:r w:rsidRPr="00192D50">
        <w:rPr>
          <w:rFonts w:ascii="Times New Roman" w:eastAsia="Times New Roman" w:hAnsi="Times New Roman" w:cs="Times New Roman"/>
          <w:sz w:val="24"/>
          <w:szCs w:val="24"/>
          <w:lang w:eastAsia="es-ES"/>
        </w:rPr>
        <w:t>Queiruga</w:t>
      </w:r>
      <w:proofErr w:type="spellEnd"/>
      <w:r w:rsidRPr="00192D50">
        <w:rPr>
          <w:rFonts w:ascii="Times New Roman" w:eastAsia="Times New Roman" w:hAnsi="Times New Roman" w:cs="Times New Roman"/>
          <w:sz w:val="24"/>
          <w:szCs w:val="24"/>
          <w:lang w:eastAsia="es-ES"/>
        </w:rPr>
        <w:t>, el Espíritu continúa soplando en la Iglesia y eso es esperanzador.</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Y agrega, a pesar de que algunos de los protagonistas del Concilio no pudieron acompañar el proceso posterior, no pudieron ir más allá en sus esfuerzos renovadores. El Vaticano II, "Fue el único concilio que no se propuso definir dogmáticamente nada". El expositor continuó, presentando al público la siguiente pregunta: </w:t>
      </w:r>
      <w:r w:rsidRPr="00192D50">
        <w:rPr>
          <w:rFonts w:ascii="Times New Roman" w:eastAsia="Times New Roman" w:hAnsi="Times New Roman" w:cs="Times New Roman"/>
          <w:b/>
          <w:bCs/>
          <w:sz w:val="24"/>
          <w:szCs w:val="24"/>
          <w:lang w:eastAsia="es-ES"/>
        </w:rPr>
        <w:t>"¿Habrá sido el Concilio la causa de todos los males de la iglesia actual?"</w:t>
      </w:r>
      <w:r w:rsidRPr="00192D50">
        <w:rPr>
          <w:rFonts w:ascii="Times New Roman" w:eastAsia="Times New Roman" w:hAnsi="Times New Roman" w:cs="Times New Roman"/>
          <w:sz w:val="24"/>
          <w:szCs w:val="24"/>
          <w:lang w:eastAsia="es-ES"/>
        </w:rPr>
        <w:t>.</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Para Andrés Torres, la modernidad ha colocado a la teología ante una realidad radical. "Este es un legado que la reflexión teológica no puede ignorar", afirma.</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Al abordar las grandes cuestiones del Concilio Vaticano II, </w:t>
      </w:r>
      <w:proofErr w:type="spellStart"/>
      <w:r w:rsidRPr="00192D50">
        <w:rPr>
          <w:rFonts w:ascii="Times New Roman" w:eastAsia="Times New Roman" w:hAnsi="Times New Roman" w:cs="Times New Roman"/>
          <w:sz w:val="24"/>
          <w:szCs w:val="24"/>
          <w:lang w:eastAsia="es-ES"/>
        </w:rPr>
        <w:t>Queiruga</w:t>
      </w:r>
      <w:proofErr w:type="spellEnd"/>
      <w:r w:rsidRPr="00192D50">
        <w:rPr>
          <w:rFonts w:ascii="Times New Roman" w:eastAsia="Times New Roman" w:hAnsi="Times New Roman" w:cs="Times New Roman"/>
          <w:sz w:val="24"/>
          <w:szCs w:val="24"/>
          <w:lang w:eastAsia="es-ES"/>
        </w:rPr>
        <w:t xml:space="preserve"> recordó </w:t>
      </w:r>
      <w:r w:rsidRPr="00192D50">
        <w:rPr>
          <w:rFonts w:ascii="Times New Roman" w:eastAsia="Times New Roman" w:hAnsi="Times New Roman" w:cs="Times New Roman"/>
          <w:b/>
          <w:bCs/>
          <w:sz w:val="24"/>
          <w:szCs w:val="24"/>
          <w:lang w:eastAsia="es-ES"/>
        </w:rPr>
        <w:t>el problema de mal en la humanidad</w:t>
      </w:r>
      <w:r w:rsidRPr="00192D50">
        <w:rPr>
          <w:rFonts w:ascii="Times New Roman" w:eastAsia="Times New Roman" w:hAnsi="Times New Roman" w:cs="Times New Roman"/>
          <w:sz w:val="24"/>
          <w:szCs w:val="24"/>
          <w:lang w:eastAsia="es-ES"/>
        </w:rPr>
        <w:t>, así como también el reto de la distribución de los alimentos en el mundo. "El Concilio nos dio la autonomía de las realidades terrenas, que son finitas y nos muestran que el mal es inevitable. Dios podría no haber creado el mundo, pero lo creó y en él aparece el mal. Dios nos convoca a la lucha contra el mal. Él necesita nuestras manos para acabar con el mal. Dios no está en el hambre, ni en la enfermedad; El está en los hambrientos y enfermos. Debemos reflexionar en esto", afirmó.</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Fue entonces que el teólogo destacó que la Teología de la Liberación se atrevió a decir: "bienaventurados los pobres". Y argumentó su afirmación: </w:t>
      </w:r>
      <w:r w:rsidRPr="00192D50">
        <w:rPr>
          <w:rFonts w:ascii="Times New Roman" w:eastAsia="Times New Roman" w:hAnsi="Times New Roman" w:cs="Times New Roman"/>
          <w:b/>
          <w:bCs/>
          <w:sz w:val="24"/>
          <w:szCs w:val="24"/>
          <w:lang w:eastAsia="es-ES"/>
        </w:rPr>
        <w:t>A pesar de todo, Dios está dentro de la Iglesia</w:t>
      </w:r>
      <w:r w:rsidRPr="00192D50">
        <w:rPr>
          <w:rFonts w:ascii="Times New Roman" w:eastAsia="Times New Roman" w:hAnsi="Times New Roman" w:cs="Times New Roman"/>
          <w:sz w:val="24"/>
          <w:szCs w:val="24"/>
          <w:lang w:eastAsia="es-ES"/>
        </w:rPr>
        <w:t>. No debemos quedar desesperados, sino tener confianza en que unidos tenemos fuerza. El mundo continuará avanzando, porque Dios está con nosotros".</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Así expresando esperanza, termino su exposición.</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En el</w:t>
      </w:r>
      <w:r w:rsidRPr="00192D50">
        <w:rPr>
          <w:rFonts w:ascii="Times New Roman" w:eastAsia="Times New Roman" w:hAnsi="Times New Roman" w:cs="Times New Roman"/>
          <w:b/>
          <w:bCs/>
          <w:sz w:val="24"/>
          <w:szCs w:val="24"/>
          <w:lang w:eastAsia="es-ES"/>
        </w:rPr>
        <w:t xml:space="preserve"> tercer día del congreso</w:t>
      </w:r>
      <w:r w:rsidRPr="00192D50">
        <w:rPr>
          <w:rFonts w:ascii="Times New Roman" w:eastAsia="Times New Roman" w:hAnsi="Times New Roman" w:cs="Times New Roman"/>
          <w:sz w:val="24"/>
          <w:szCs w:val="24"/>
          <w:lang w:eastAsia="es-ES"/>
        </w:rPr>
        <w:t xml:space="preserve">, las grandes expectativas de las y los participantes en el congreso se cumplieron con las ponencias y las reflexiones de los teólogos: Víctor Codina, Andrés Torres </w:t>
      </w:r>
      <w:proofErr w:type="spellStart"/>
      <w:r w:rsidRPr="00192D50">
        <w:rPr>
          <w:rFonts w:ascii="Times New Roman" w:eastAsia="Times New Roman" w:hAnsi="Times New Roman" w:cs="Times New Roman"/>
          <w:sz w:val="24"/>
          <w:szCs w:val="24"/>
          <w:lang w:eastAsia="es-ES"/>
        </w:rPr>
        <w:t>Queiruga</w:t>
      </w:r>
      <w:proofErr w:type="spellEnd"/>
      <w:r w:rsidRPr="00192D50">
        <w:rPr>
          <w:rFonts w:ascii="Times New Roman" w:eastAsia="Times New Roman" w:hAnsi="Times New Roman" w:cs="Times New Roman"/>
          <w:sz w:val="24"/>
          <w:szCs w:val="24"/>
          <w:lang w:eastAsia="es-ES"/>
        </w:rPr>
        <w:t xml:space="preserve">, Pablo Richard, Luis Carlos </w:t>
      </w:r>
      <w:proofErr w:type="spellStart"/>
      <w:r w:rsidRPr="00192D50">
        <w:rPr>
          <w:rFonts w:ascii="Times New Roman" w:eastAsia="Times New Roman" w:hAnsi="Times New Roman" w:cs="Times New Roman"/>
          <w:sz w:val="24"/>
          <w:szCs w:val="24"/>
          <w:lang w:eastAsia="es-ES"/>
        </w:rPr>
        <w:t>Susin</w:t>
      </w:r>
      <w:proofErr w:type="spellEnd"/>
      <w:r w:rsidRPr="00192D50">
        <w:rPr>
          <w:rFonts w:ascii="Times New Roman" w:eastAsia="Times New Roman" w:hAnsi="Times New Roman" w:cs="Times New Roman"/>
          <w:sz w:val="24"/>
          <w:szCs w:val="24"/>
          <w:lang w:eastAsia="es-ES"/>
        </w:rPr>
        <w:t xml:space="preserve">, Eduardo </w:t>
      </w:r>
      <w:proofErr w:type="spellStart"/>
      <w:r w:rsidRPr="00192D50">
        <w:rPr>
          <w:rFonts w:ascii="Times New Roman" w:eastAsia="Times New Roman" w:hAnsi="Times New Roman" w:cs="Times New Roman"/>
          <w:sz w:val="24"/>
          <w:szCs w:val="24"/>
          <w:lang w:eastAsia="es-ES"/>
        </w:rPr>
        <w:t>Hoornaert</w:t>
      </w:r>
      <w:proofErr w:type="spellEnd"/>
      <w:r w:rsidRPr="00192D50">
        <w:rPr>
          <w:rFonts w:ascii="Times New Roman" w:eastAsia="Times New Roman" w:hAnsi="Times New Roman" w:cs="Times New Roman"/>
          <w:sz w:val="24"/>
          <w:szCs w:val="24"/>
          <w:lang w:eastAsia="es-ES"/>
        </w:rPr>
        <w:t>, y la videoconferencia tan esperada de Gustavo Gutiérrez.</w:t>
      </w:r>
    </w:p>
    <w:p w:rsidR="00EF2D72"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Las iglesias en el continente 50 años después </w:t>
      </w:r>
      <w:proofErr w:type="gramStart"/>
      <w:r w:rsidRPr="00192D50">
        <w:rPr>
          <w:rFonts w:ascii="Times New Roman" w:eastAsia="Times New Roman" w:hAnsi="Times New Roman" w:cs="Times New Roman"/>
          <w:sz w:val="24"/>
          <w:szCs w:val="24"/>
          <w:lang w:eastAsia="es-ES"/>
        </w:rPr>
        <w:t>del Vaticano II-cuestiones pendientes</w:t>
      </w:r>
      <w:proofErr w:type="gramEnd"/>
      <w:r w:rsidRPr="00192D50">
        <w:rPr>
          <w:rFonts w:ascii="Times New Roman" w:eastAsia="Times New Roman" w:hAnsi="Times New Roman" w:cs="Times New Roman"/>
          <w:sz w:val="24"/>
          <w:szCs w:val="24"/>
          <w:lang w:eastAsia="es-ES"/>
        </w:rPr>
        <w:t>, fue la conferencia del teólogo</w:t>
      </w:r>
      <w:r w:rsidRPr="00192D50">
        <w:rPr>
          <w:rFonts w:ascii="Times New Roman" w:eastAsia="Times New Roman" w:hAnsi="Times New Roman" w:cs="Times New Roman"/>
          <w:b/>
          <w:bCs/>
          <w:sz w:val="24"/>
          <w:szCs w:val="24"/>
          <w:lang w:eastAsia="es-ES"/>
        </w:rPr>
        <w:t xml:space="preserve"> Víctor Codina</w:t>
      </w:r>
      <w:r w:rsidRPr="00192D50">
        <w:rPr>
          <w:rFonts w:ascii="Times New Roman" w:eastAsia="Times New Roman" w:hAnsi="Times New Roman" w:cs="Times New Roman"/>
          <w:sz w:val="24"/>
          <w:szCs w:val="24"/>
          <w:lang w:eastAsia="es-ES"/>
        </w:rPr>
        <w:t xml:space="preserve">, quien fue preciso, sistemático y propositivo en su planteamiento altamente aplaudido. Codina, presento un esquema importante para analizar la novedad del Vaticano II en América Latina, donde la centralidad está en la </w:t>
      </w:r>
      <w:r w:rsidRPr="00192D50">
        <w:rPr>
          <w:rFonts w:ascii="Times New Roman" w:eastAsia="Times New Roman" w:hAnsi="Times New Roman" w:cs="Times New Roman"/>
          <w:sz w:val="24"/>
          <w:szCs w:val="24"/>
          <w:lang w:eastAsia="es-ES"/>
        </w:rPr>
        <w:lastRenderedPageBreak/>
        <w:t>eclesiología, la cual ha sido releído desde abajo, desde los pobres. Codina, resaltó aspectos de la eclesiología como núcleos simbólicos.</w:t>
      </w:r>
      <w:r w:rsidRPr="00192D50">
        <w:rPr>
          <w:rFonts w:ascii="Times New Roman" w:eastAsia="Times New Roman" w:hAnsi="Times New Roman" w:cs="Times New Roman"/>
          <w:sz w:val="24"/>
          <w:szCs w:val="24"/>
          <w:lang w:eastAsia="es-ES"/>
        </w:rPr>
        <w:br/>
      </w:r>
      <w:r w:rsidRPr="00192D50">
        <w:rPr>
          <w:rFonts w:ascii="Times New Roman" w:eastAsia="Times New Roman" w:hAnsi="Times New Roman" w:cs="Times New Roman"/>
          <w:sz w:val="24"/>
          <w:szCs w:val="24"/>
          <w:lang w:eastAsia="es-ES"/>
        </w:rPr>
        <w:br/>
        <w:t xml:space="preserve">En esta gran ponencia el teólogo Víctor Codina, recordó de manara enfática la creatividad y relectura con la que AL fue receptora del Vaticano II. Primeramente mencionó esta recepción, no como simple obediencia, sino desde un aporte y un juicio crítico. </w:t>
      </w:r>
      <w:r w:rsidRPr="00192D50">
        <w:rPr>
          <w:rFonts w:ascii="Times New Roman" w:eastAsia="Times New Roman" w:hAnsi="Times New Roman" w:cs="Times New Roman"/>
          <w:b/>
          <w:bCs/>
          <w:sz w:val="24"/>
          <w:szCs w:val="24"/>
          <w:lang w:eastAsia="es-ES"/>
        </w:rPr>
        <w:t>Exaltó a las iglesias locales como sujetos activos</w:t>
      </w:r>
      <w:r w:rsidRPr="00192D50">
        <w:rPr>
          <w:rFonts w:ascii="Times New Roman" w:eastAsia="Times New Roman" w:hAnsi="Times New Roman" w:cs="Times New Roman"/>
          <w:sz w:val="24"/>
          <w:szCs w:val="24"/>
          <w:lang w:eastAsia="es-ES"/>
        </w:rPr>
        <w:t>, las cuales impiden esta recepción desde un esquema piramidal, jerárquico y patriarcal, sino desde un desarrollo novedoso, es decir, las relecturas desde abajo, desde los pobres, desde el reverso de la historia, y también desde el martirio. Sin esta recepción no se hubiera recibido a Medellín y Aparecida, enfatizó en su ponencia.</w:t>
      </w:r>
    </w:p>
    <w:p w:rsidR="00EF2D72"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El Dr. Codina, menciono también la importancia de</w:t>
      </w:r>
      <w:r w:rsidRPr="00192D50">
        <w:rPr>
          <w:rFonts w:ascii="Times New Roman" w:eastAsia="Times New Roman" w:hAnsi="Times New Roman" w:cs="Times New Roman"/>
          <w:b/>
          <w:bCs/>
          <w:sz w:val="24"/>
          <w:szCs w:val="24"/>
          <w:lang w:eastAsia="es-ES"/>
        </w:rPr>
        <w:t xml:space="preserve"> </w:t>
      </w:r>
      <w:proofErr w:type="spellStart"/>
      <w:r w:rsidRPr="00192D50">
        <w:rPr>
          <w:rFonts w:ascii="Times New Roman" w:eastAsia="Times New Roman" w:hAnsi="Times New Roman" w:cs="Times New Roman"/>
          <w:b/>
          <w:bCs/>
          <w:sz w:val="24"/>
          <w:szCs w:val="24"/>
          <w:lang w:eastAsia="es-ES"/>
        </w:rPr>
        <w:t>Gaudium</w:t>
      </w:r>
      <w:proofErr w:type="spellEnd"/>
      <w:r w:rsidRPr="00192D50">
        <w:rPr>
          <w:rFonts w:ascii="Times New Roman" w:eastAsia="Times New Roman" w:hAnsi="Times New Roman" w:cs="Times New Roman"/>
          <w:b/>
          <w:bCs/>
          <w:sz w:val="24"/>
          <w:szCs w:val="24"/>
          <w:lang w:eastAsia="es-ES"/>
        </w:rPr>
        <w:t xml:space="preserve"> et </w:t>
      </w:r>
      <w:proofErr w:type="spellStart"/>
      <w:r w:rsidRPr="00192D50">
        <w:rPr>
          <w:rFonts w:ascii="Times New Roman" w:eastAsia="Times New Roman" w:hAnsi="Times New Roman" w:cs="Times New Roman"/>
          <w:b/>
          <w:bCs/>
          <w:sz w:val="24"/>
          <w:szCs w:val="24"/>
          <w:lang w:eastAsia="es-ES"/>
        </w:rPr>
        <w:t>spes</w:t>
      </w:r>
      <w:proofErr w:type="spellEnd"/>
      <w:r w:rsidRPr="00192D50">
        <w:rPr>
          <w:rFonts w:ascii="Times New Roman" w:eastAsia="Times New Roman" w:hAnsi="Times New Roman" w:cs="Times New Roman"/>
          <w:b/>
          <w:bCs/>
          <w:sz w:val="24"/>
          <w:szCs w:val="24"/>
          <w:lang w:eastAsia="es-ES"/>
        </w:rPr>
        <w:t>,</w:t>
      </w:r>
      <w:r w:rsidRPr="00192D50">
        <w:rPr>
          <w:rFonts w:ascii="Times New Roman" w:eastAsia="Times New Roman" w:hAnsi="Times New Roman" w:cs="Times New Roman"/>
          <w:sz w:val="24"/>
          <w:szCs w:val="24"/>
          <w:lang w:eastAsia="es-ES"/>
        </w:rPr>
        <w:t xml:space="preserve"> como documento con mejor recepción por su invitación a responder a los signos de los tiempos, signos de la presencia del Espíritu Santo. Con el Vaticano II se da pie a que los obispos en Medellín descubran el grito de los pobres, donde todo lo que tiene que ver con Cristo tiene que ver con los pobres, acentuó el teólogo.</w:t>
      </w:r>
      <w:r w:rsidRPr="00192D50">
        <w:rPr>
          <w:rFonts w:ascii="Times New Roman" w:eastAsia="Times New Roman" w:hAnsi="Times New Roman" w:cs="Times New Roman"/>
          <w:sz w:val="24"/>
          <w:szCs w:val="24"/>
          <w:lang w:eastAsia="es-ES"/>
        </w:rPr>
        <w:br/>
      </w:r>
      <w:r w:rsidRPr="00192D50">
        <w:rPr>
          <w:rFonts w:ascii="Times New Roman" w:eastAsia="Times New Roman" w:hAnsi="Times New Roman" w:cs="Times New Roman"/>
          <w:sz w:val="24"/>
          <w:szCs w:val="24"/>
          <w:lang w:eastAsia="es-ES"/>
        </w:rPr>
        <w:br/>
        <w:t>La participación de Codina, concluyo entre otros planteamientos con las respuestas a las preguntas del público entre estas: ¿Qué pensaría de un Vaticano III? Respondió:</w:t>
      </w:r>
      <w:r w:rsidRPr="00192D50">
        <w:rPr>
          <w:rFonts w:ascii="Times New Roman" w:eastAsia="Times New Roman" w:hAnsi="Times New Roman" w:cs="Times New Roman"/>
          <w:b/>
          <w:bCs/>
          <w:sz w:val="24"/>
          <w:szCs w:val="24"/>
          <w:lang w:eastAsia="es-ES"/>
        </w:rPr>
        <w:t xml:space="preserve"> Sería mejor un Jerusalén II con todas las iglesias cristiana</w:t>
      </w:r>
      <w:r w:rsidRPr="00192D50">
        <w:rPr>
          <w:rFonts w:ascii="Times New Roman" w:eastAsia="Times New Roman" w:hAnsi="Times New Roman" w:cs="Times New Roman"/>
          <w:sz w:val="24"/>
          <w:szCs w:val="24"/>
          <w:lang w:eastAsia="es-ES"/>
        </w:rPr>
        <w:t>.</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 xml:space="preserve">En un homenaje a </w:t>
      </w:r>
      <w:proofErr w:type="spellStart"/>
      <w:r w:rsidRPr="00192D50">
        <w:rPr>
          <w:rFonts w:ascii="Times New Roman" w:eastAsia="Times New Roman" w:hAnsi="Times New Roman" w:cs="Times New Roman"/>
          <w:b/>
          <w:bCs/>
          <w:sz w:val="24"/>
          <w:szCs w:val="24"/>
          <w:lang w:eastAsia="es-ES"/>
        </w:rPr>
        <w:t>Comblin</w:t>
      </w:r>
      <w:proofErr w:type="spellEnd"/>
      <w:r w:rsidRPr="00192D50">
        <w:rPr>
          <w:rFonts w:ascii="Times New Roman" w:eastAsia="Times New Roman" w:hAnsi="Times New Roman" w:cs="Times New Roman"/>
          <w:sz w:val="24"/>
          <w:szCs w:val="24"/>
          <w:lang w:eastAsia="es-ES"/>
        </w:rPr>
        <w:t xml:space="preserve">, la mesa de ponentes resaltó la vida y especialmente los grandes aportes teológicos hechos por </w:t>
      </w:r>
      <w:proofErr w:type="spellStart"/>
      <w:r w:rsidRPr="00192D50">
        <w:rPr>
          <w:rFonts w:ascii="Times New Roman" w:eastAsia="Times New Roman" w:hAnsi="Times New Roman" w:cs="Times New Roman"/>
          <w:sz w:val="24"/>
          <w:szCs w:val="24"/>
          <w:lang w:eastAsia="es-ES"/>
        </w:rPr>
        <w:t>Comblin</w:t>
      </w:r>
      <w:proofErr w:type="spellEnd"/>
      <w:r w:rsidRPr="00192D50">
        <w:rPr>
          <w:rFonts w:ascii="Times New Roman" w:eastAsia="Times New Roman" w:hAnsi="Times New Roman" w:cs="Times New Roman"/>
          <w:sz w:val="24"/>
          <w:szCs w:val="24"/>
          <w:lang w:eastAsia="es-ES"/>
        </w:rPr>
        <w:t xml:space="preserve"> a la iglesia liberadora y a la reflexión teológica.</w:t>
      </w:r>
      <w:r w:rsidRPr="00192D50">
        <w:rPr>
          <w:rFonts w:ascii="Times New Roman" w:eastAsia="Times New Roman" w:hAnsi="Times New Roman" w:cs="Times New Roman"/>
          <w:sz w:val="24"/>
          <w:szCs w:val="24"/>
          <w:lang w:eastAsia="es-ES"/>
        </w:rPr>
        <w:br/>
      </w:r>
      <w:r w:rsidRPr="00192D50">
        <w:rPr>
          <w:rFonts w:ascii="Times New Roman" w:eastAsia="Times New Roman" w:hAnsi="Times New Roman" w:cs="Times New Roman"/>
          <w:sz w:val="24"/>
          <w:szCs w:val="24"/>
          <w:lang w:eastAsia="es-ES"/>
        </w:rPr>
        <w:br/>
        <w:t xml:space="preserve">Para terminar el día </w:t>
      </w:r>
      <w:proofErr w:type="gramStart"/>
      <w:r w:rsidRPr="00192D50">
        <w:rPr>
          <w:rFonts w:ascii="Times New Roman" w:eastAsia="Times New Roman" w:hAnsi="Times New Roman" w:cs="Times New Roman"/>
          <w:sz w:val="24"/>
          <w:szCs w:val="24"/>
          <w:lang w:eastAsia="es-ES"/>
        </w:rPr>
        <w:t>la</w:t>
      </w:r>
      <w:proofErr w:type="gramEnd"/>
      <w:r w:rsidRPr="00192D50">
        <w:rPr>
          <w:rFonts w:ascii="Times New Roman" w:eastAsia="Times New Roman" w:hAnsi="Times New Roman" w:cs="Times New Roman"/>
          <w:sz w:val="24"/>
          <w:szCs w:val="24"/>
          <w:lang w:eastAsia="es-ES"/>
        </w:rPr>
        <w:t xml:space="preserve"> video-conferencia de </w:t>
      </w:r>
      <w:r w:rsidRPr="00192D50">
        <w:rPr>
          <w:rFonts w:ascii="Times New Roman" w:eastAsia="Times New Roman" w:hAnsi="Times New Roman" w:cs="Times New Roman"/>
          <w:b/>
          <w:bCs/>
          <w:sz w:val="24"/>
          <w:szCs w:val="24"/>
          <w:lang w:eastAsia="es-ES"/>
        </w:rPr>
        <w:t>Gustavo Gutiérrez</w:t>
      </w:r>
      <w:r w:rsidRPr="00192D50">
        <w:rPr>
          <w:rFonts w:ascii="Times New Roman" w:eastAsia="Times New Roman" w:hAnsi="Times New Roman" w:cs="Times New Roman"/>
          <w:sz w:val="24"/>
          <w:szCs w:val="24"/>
          <w:lang w:eastAsia="es-ES"/>
        </w:rPr>
        <w:t xml:space="preserve"> aporto una gran reflexión sobre el proceso y la recepción de Vaticano II, pero lo que más gustó a la asamblea fue la sencillez y disponibilidad con que abordó el tema.</w:t>
      </w:r>
    </w:p>
    <w:p w:rsidR="00EF2D72" w:rsidRPr="00192D50" w:rsidRDefault="00EF2D72" w:rsidP="00EF2D7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92D50">
        <w:rPr>
          <w:rFonts w:ascii="Times New Roman" w:eastAsia="Times New Roman" w:hAnsi="Times New Roman" w:cs="Times New Roman"/>
          <w:sz w:val="24"/>
          <w:szCs w:val="24"/>
          <w:lang w:eastAsia="es-ES"/>
        </w:rPr>
        <w:t>La transmisión en vivo de las principales conferencias del Congreso sigue día a día por:</w:t>
      </w:r>
    </w:p>
    <w:p w:rsidR="00EF2D72" w:rsidRDefault="00EF2D72" w:rsidP="00EF2D72">
      <w:hyperlink r:id="rId7" w:tgtFrame="_blank" w:tooltip="Congreso Teología" w:history="1">
        <w:r>
          <w:rPr>
            <w:rStyle w:val="Hipervnculo"/>
          </w:rPr>
          <w:t>http://www.ustream.tv/channel/congresoteologicobrasil</w:t>
        </w:r>
      </w:hyperlink>
    </w:p>
    <w:p w:rsidR="00EF2D72" w:rsidRDefault="00EF2D72"/>
    <w:sectPr w:rsidR="00EF2D72"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1F17"/>
    <w:rsid w:val="00092237"/>
    <w:rsid w:val="0044700A"/>
    <w:rsid w:val="00E819FF"/>
    <w:rsid w:val="00EC1F17"/>
    <w:rsid w:val="00EF2D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C1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1F17"/>
    <w:rPr>
      <w:rFonts w:ascii="Tahoma" w:hAnsi="Tahoma" w:cs="Tahoma"/>
      <w:sz w:val="16"/>
      <w:szCs w:val="16"/>
    </w:rPr>
  </w:style>
  <w:style w:type="character" w:styleId="Hipervnculo">
    <w:name w:val="Hyperlink"/>
    <w:basedOn w:val="Fuentedeprrafopredeter"/>
    <w:uiPriority w:val="99"/>
    <w:semiHidden/>
    <w:unhideWhenUsed/>
    <w:rsid w:val="00EF2D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stream.tv/channel/congresoteologicobras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periodistadigital.com/religio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5287</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2</cp:revision>
  <dcterms:created xsi:type="dcterms:W3CDTF">2012-10-18T11:45:00Z</dcterms:created>
  <dcterms:modified xsi:type="dcterms:W3CDTF">2012-10-18T11:45:00Z</dcterms:modified>
</cp:coreProperties>
</file>