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53" w:rsidRPr="00ED2853" w:rsidRDefault="00ED2853" w:rsidP="00ED2853">
      <w:pPr>
        <w:spacing w:after="150" w:line="540" w:lineRule="atLeast"/>
        <w:textAlignment w:val="top"/>
        <w:outlineLvl w:val="1"/>
        <w:rPr>
          <w:rFonts w:ascii="Arial" w:eastAsia="Times New Roman" w:hAnsi="Arial" w:cs="Arial"/>
          <w:b/>
          <w:bCs/>
          <w:color w:val="1A1A1A"/>
          <w:spacing w:val="-15"/>
          <w:sz w:val="44"/>
          <w:szCs w:val="44"/>
          <w:lang w:eastAsia="es-ES"/>
        </w:rPr>
      </w:pPr>
      <w:r w:rsidRPr="00ED2853">
        <w:rPr>
          <w:rFonts w:ascii="Arial" w:eastAsia="Times New Roman" w:hAnsi="Arial" w:cs="Arial"/>
          <w:b/>
          <w:bCs/>
          <w:noProof/>
          <w:color w:val="1A1A1A"/>
          <w:spacing w:val="-15"/>
          <w:sz w:val="44"/>
          <w:szCs w:val="44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205105</wp:posOffset>
            </wp:positionV>
            <wp:extent cx="1514475" cy="819150"/>
            <wp:effectExtent l="19050" t="0" r="9525" b="0"/>
            <wp:wrapTight wrapText="bothSides">
              <wp:wrapPolygon edited="0">
                <wp:start x="-272" y="0"/>
                <wp:lineTo x="-272" y="21098"/>
                <wp:lineTo x="21736" y="21098"/>
                <wp:lineTo x="21736" y="0"/>
                <wp:lineTo x="-272" y="0"/>
              </wp:wrapPolygon>
            </wp:wrapTight>
            <wp:docPr id="1" name="0 Imagen" descr="HUMANI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MANITA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2853">
        <w:rPr>
          <w:rFonts w:ascii="Arial" w:eastAsia="Times New Roman" w:hAnsi="Arial" w:cs="Arial"/>
          <w:b/>
          <w:bCs/>
          <w:color w:val="1A1A1A"/>
          <w:spacing w:val="-15"/>
          <w:sz w:val="44"/>
          <w:szCs w:val="44"/>
          <w:lang w:eastAsia="es-ES"/>
        </w:rPr>
        <w:t>A teologia da libertação e a Igreja que precisa de todos. Artigo de Ugo Sartorio</w:t>
      </w: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 questão dos pobres é, em perspectiva evangélica, a grande questão, o que realmente faz a diferença, tanto que deu origem a uma reflexão teológica, a </w:t>
      </w:r>
      <w:hyperlink r:id="rId5" w:history="1">
        <w:r w:rsidRPr="00ED2853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>latino-americana</w:t>
        </w:r>
      </w:hyperlink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em primeiro lugar. Isso, porém, não acrescenta um novo tema de reflexão à teologia, mas sim determina "um novo modo de fazer teologia".</w:t>
      </w: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 opinião é do frei franciscano italiano </w:t>
      </w:r>
      <w:hyperlink r:id="rId6" w:history="1">
        <w:r w:rsidRPr="00ED2853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>Ugo Sartorio</w:t>
        </w:r>
      </w:hyperlink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diretor da revista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Il Messaggero di Sant’Antonio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 O artigo foi publicado no jornal do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Vaticano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L'Osservatore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Romano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04-09-2013. A tradução é de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Moisés Sbardelotto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Eis o texto.</w:t>
      </w: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 um papa latino-americano, a teologia da libertação não podia permanecer por muito tempo no cone de sombra em que foi relegada há alguns anos, ao menos na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Europa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 Posta fora de jogo por um duplo preconceito: aquele de que ela ainda não metabolizou a fase conflituosa de meados dos anos 1980, muito enfatizada pela mídia, e faz dela uma vítima do Magistério romano; e o preconceito engessado na rejeição de uma teologia considerada muito de esquerda e, portanto, tendenciosa.</w:t>
      </w: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É preciso acrescentar o fato de que alguns chegaram até a dar por morta e sepultada a teologia da libertação, fruto de uma época que se concluiria finalmente com a queda do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Muro de Berlim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(1989) e a implosão do império soviético ligado à ideologia marxista.</w:t>
      </w: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Curiosa, a propósito, é a reação de um dos maiores expoentes desse filão teológico, o peruano </w:t>
      </w:r>
      <w:hyperlink r:id="rId7" w:history="1">
        <w:r w:rsidRPr="00ED2853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>Gustavo Gutiérrez</w:t>
        </w:r>
      </w:hyperlink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relatada por </w:t>
      </w:r>
      <w:hyperlink r:id="rId8" w:history="1">
        <w:r w:rsidRPr="00ED2853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>Luiz Carlos Susin</w:t>
        </w:r>
      </w:hyperlink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: "O conhecido teólogo peruano lamentou-se com o seu proverbial senso de ironia, dizendo que, se a teologia libertação está morta, ele não foi convidado para o funeral. Ele acrescenta que, se fosse verdade, ele ficaria muito contente, porque isso significaria que teríamos chegado a viver em um mundo justo, no reino de Deus, o reino da liberdade escatológica, e não devemos mais sustentar o esforço da luta e da fidelidade, sempre tentada e fatigante, para conquistar a libertação" (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Silvia Scatena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Luiz Carlos Susin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e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Sandro Gallazzi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 </w:t>
      </w:r>
      <w:r w:rsidRPr="00ED2853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Chiesa e teologia in America Latina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Pádua: Messaggero, 2013, p. 51-52).</w:t>
      </w: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 mesmo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Gutiérrez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no livro que estamos apresentando, esclarece que 1989 é, seguramente, paradigmático para a relação entre Oriente e Ocidente, já que, por muitos anos, a história ficou bloqueada nesse eixo, mas que, no entanto, a teologia da libertação não está interessada na pobreza dos países do Oriente. Ela se move, ao contrário, a partir da desumana situação de pobreza na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América Latina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e no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Caribe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que não parece ter se mitigado significativamente nas últimas décadas e que exige ser lida à luz da fé. "Estado 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lastRenderedPageBreak/>
        <w:t>de coisas e teologia – esclarece Gutiérrez sem rodeios – que, substancialmente, têm pouco a ver com o colapso do socialismo real" (p. 46).</w:t>
      </w: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 todo caso, ainda em 2002, o teólogo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Robert J. Schreiter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descrevia a teologia, melhor, as teologias da libertação "entre resistência e reconstrução" (cf. </w:t>
      </w:r>
      <w:r w:rsidRPr="00ED2853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The New Catholicity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Orbis Books, p. 98-115), portanto, em busca de identidade dentro de contextos mudados. E não é possível deixar de levar em conta que, na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América Latina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como ainda há 30 anos ilustrava o teólogo jesuíta argentino </w:t>
      </w:r>
      <w:hyperlink r:id="rId9" w:history="1">
        <w:r w:rsidRPr="00ED2853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>Juan Carlos Scannone</w:t>
        </w:r>
      </w:hyperlink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(cf. </w:t>
      </w:r>
      <w:r w:rsidRPr="00ED2853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Problemi e prospettive di teologia dogmatica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Bréscia: Queriniana, 1983, p. 406-414), a teologia da libertação nunca foi um fenômeno unitário, mas sim caracterizado por correntes também muito diversificadas entre si.</w:t>
      </w: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Dentro dessa diversidade, existe uma </w:t>
      </w:r>
      <w:hyperlink r:id="rId10" w:history="1">
        <w:r w:rsidRPr="00ED2853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>teologia da libertação argentina</w:t>
        </w:r>
      </w:hyperlink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compartilhada pelo cardeal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Bergoglio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hoje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Papa Francisco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que, "como a teologia da libertação, utiliza o método 'ver-julgar-agir', liga práxis histórica e reflexão teológica, e recorre à mediação das ciências sociais e humanas. Porém, privilegia uma análise histórico-cultural em vez de uma análise socioestrutural de tipo marxista" (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Scannone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 </w:t>
      </w:r>
      <w:r w:rsidRPr="00ED2853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La teologia di Francesco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in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Il Regno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Attualità 6/2013, p. 128).</w:t>
      </w: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Mas voltemos ao livro em questão, escrito a quatro mãos por dois teólogos de exceção. O já citado padre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Gutiérrez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(padre, pode-se dizer, em dois sentidos: seja porque, como padre diocesano, se fez dominicano e, portanto, agora pertence à Ordem dos Freis Pregadores, seja porque, em bom direito, é considerado o "pai da teologia da libertação", p. 77) e o atual prefeito da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Congregação para a Doutrina da Fé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o arcebispo </w:t>
      </w:r>
      <w:hyperlink r:id="rId11" w:history="1">
        <w:r w:rsidRPr="00ED2853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>Gerhard Ludwig Müller</w:t>
        </w:r>
      </w:hyperlink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professor honorário da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Universidade Ludwig-Maximilian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de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Munique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e editor da </w:t>
      </w:r>
      <w:hyperlink r:id="rId12" w:history="1">
        <w:r w:rsidRPr="00ED2853">
          <w:rPr>
            <w:rFonts w:ascii="Arial" w:eastAsia="Times New Roman" w:hAnsi="Arial" w:cs="Arial"/>
            <w:b/>
            <w:bCs/>
            <w:i/>
            <w:iCs/>
            <w:color w:val="E66101"/>
            <w:sz w:val="24"/>
            <w:szCs w:val="24"/>
            <w:lang w:eastAsia="es-ES"/>
          </w:rPr>
          <w:t>opera omnia</w:t>
        </w:r>
      </w:hyperlink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de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Joseph Ratzinger-Bento XVI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 livro – traduzido ao italiano em coedição pelas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Edizioni Messaggero Padova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e pela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Editrice Missionaria Italiana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– é, de fato, um texto que apareceu originalmente em língua alemã em 2004 (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Augsburg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Sankt Ulrich Verlag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). O título permanece idêntico (</w:t>
      </w:r>
      <w:r w:rsidRPr="00ED2853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An der Seite der Armen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; "do lado dos pobres"), enquanto o subtítulo alemão que diz </w:t>
      </w:r>
      <w:r w:rsidRPr="00ED2853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Theologie der Befreiung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"a teologia da libertação", é ampliado com o acréscimo de "teologia da Igreja". Com o intuito de evidenciar o sumo da publicação inteira, ou seja, o valor eclesial de uma teologia que, em muitos de seus expoentes, dentre os quais se destaca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Gutiérrez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desenvolveu um caminho que, sem dúvida, a coloca no sulco da catolicidade e a seu serviço, como teologia da Igreja e para a Igreja.</w:t>
      </w: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Das 183 páginas de texto, 117 (em três contribuições) são do teólogo peruano, enquanto 76 (em quatro intervenções) foram escritas pelo arcebispo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Müller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 Chama a atenção o tom pacato, às vezes meditativo, da exposição e, principalmente, o fato de que é banido toda intenção reivindicativa: quem fala são os fatos, as argumentações, as referências voltadas tanto aos textos das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Conferências Gerais do Episcopado Latino-Americano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quanto aos textos do Magistério romano.</w:t>
      </w: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lastRenderedPageBreak/>
        <w:t>Os dois autores vão, embora com passo diferente, na mesma direção, a de uma teologia que, como afirma a recente encíclica escrita a quatro mãos por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Bento XVI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e pelo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Papa Francisco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 </w:t>
      </w:r>
      <w:hyperlink r:id="rId13" w:history="1">
        <w:r w:rsidRPr="00ED2853">
          <w:rPr>
            <w:rFonts w:ascii="Arial" w:eastAsia="Times New Roman" w:hAnsi="Arial" w:cs="Arial"/>
            <w:b/>
            <w:bCs/>
            <w:i/>
            <w:iCs/>
            <w:color w:val="E66101"/>
            <w:sz w:val="24"/>
            <w:szCs w:val="24"/>
            <w:lang w:eastAsia="es-ES"/>
          </w:rPr>
          <w:t>Lumen fidei</w:t>
        </w:r>
      </w:hyperlink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"compartilha a forma eclesial da fé", para a qual "a sua luz é a luz do sujeito crente que é a Igreja. Isto implica, por um lado, que a teologia esteja ao serviço da fé dos cristãos, vise humildemente preservar e aprofundar o crer de todos, sobretudo dos mais simples; e por outro, dado que vive da fé, a teologia não considera o magistério do papa e dos bispos em comunhão com ele como algo de extrínseco, um limite à sua liberdade, mas, pelo contrário, como um dos seus momentos internos constitutivos, enquanto o magistério assegura o contacto com a fonte originária, oferecendo assim a certeza de beber na Palavra de Cristo em toda a sua integridade" (n. 36).</w:t>
      </w: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Essa linha, perseguida com confiança pelos nossos dois autores, contrasta com os clichês jornalísticos de uma teologia da libertação inquieta, perenemente sob o ataque de um Magistério pelo qual ela se sentiria incompreendida, ainda colorida demais de ideologia. A teologia, escreve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Gutiérrez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é uma "função eclesial" e oferece o seu serviço à comunicabilidade da fé: "O seu conteúdo é a proclamação de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Cristo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e da sua libertação integral, anúncio que deve ser feito em uma linguagem fiel à mensagem e que seja eloquente para os nossos contemporâneos" (p. 6).</w:t>
      </w:r>
    </w:p>
    <w:p w:rsidR="00ED2853" w:rsidRPr="00ED2853" w:rsidRDefault="00ED2853" w:rsidP="00ED2853">
      <w:pPr>
        <w:shd w:val="clear" w:color="auto" w:fill="FFFFFF"/>
        <w:spacing w:before="150" w:after="225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É preciso notar que se fala de libertação "integral", portanto, de todo o ser humano de todos os males (a partir da raiz de todo o mal, que é o pecado), e de um renovado estilo de anúncio.</w:t>
      </w: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 é por acaso que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João Paulo II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falou de modo estruturado de nova evangelização ("Nova em seu ardor, em seus métodos, em sua expressão"), justamente falando ao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Conselho Episcopal Latino-Americano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no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Haiti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no dia 9 de março de 1983. A expressão "nova evangelização", sublinha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Gutiérrez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(p. 150), encontra-se no documento preparatório de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Medellín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(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Colômbia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), berço da teologia da libertação, e na Mensagem dessa conferência, e estamos em 1968.</w:t>
      </w: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 reconhecimento implícito da teologia da libertação como "nova evangelização" veio do último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Sínodo dos Bispos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sobre esse tema, em outubro passado: "A proclamação do Evangelho compromete a Igreja a estar com os pobres e a ocupar-se dos seus sofrimentos, como Jesus. (…) Pôr-se ao lado de quem está ferido pela vida não é só uma prática de socialidade, mas antes de tudo um fato espiritual. (…) A presença do pobre nas nossas comunidades é misteriosamente poderosa: muda as pessoas mais do que um discurso, ensina fidelidade, faz compreender a fragilidade da vida, pede oração: em síntese, conduz a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Cristo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" (</w:t>
      </w:r>
      <w:r w:rsidRPr="00ED2853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Mensagem ao Povo de Deus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26 de outubro de 2012, n. 6 e 11).</w:t>
      </w: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A questão dos pobres, portanto, é, em perspectiva evangélica, a grande questão, o que realmente faz a diferença, tanto que deu origem a uma reflexão teológica, a latino-americana em primeiro lugar (como se dizia, não devemos esquecer que hoje é preciso falar de teologias da libertação, no plural), que gira em torno desse ponto: isso, porém, não acrescenta um novo tema de reflexão 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lastRenderedPageBreak/>
        <w:t>à teologia, mas sim determina "um novo modo de fazer teologia" (</w:t>
      </w:r>
      <w:r w:rsidRPr="00ED2853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Teologia della liberazione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Bréscia: Queriniana, 1972, p. 25).</w:t>
      </w: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Como escreveu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Johann Baptist Metz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em um artigo publicado em 1993 pela revista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Stimmen der Zeit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"a teologia da libertação é algo mais e algo diferente de uma teoria social de esquerda ou de uma consequente teologia pastoral. Ela é teologia". Com que peculiaridade? Enquanto as teologias europeias, mesmo as mais envolvidas com as questões sociais (como a "teologia política" e a "teologia da esperança") sempre têm como interlocutor o ser humano adulto e emancipado de memória bonhoefferiana, o não crente que luta para reconhecer Deus e o marginaliza, a teologia da libertação tem a ver com o não ser humano, o pobre (ou, melhor, o empobrecido, no sentido de que a pobreza nunca é apenas uma fatalidade), aquele que é privado de direitos e não tem voz.</w:t>
      </w: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Os teólogos latino-americanos falam, a esse propósito, de "povo crucificado" (</w:t>
      </w:r>
      <w:hyperlink r:id="rId14" w:history="1">
        <w:r w:rsidRPr="00ED2853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>Ignacio Ellacuría</w:t>
        </w:r>
      </w:hyperlink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), também por causa do difuso e doloroso fenômeno do martírio: de fato, a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América Latina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é o único "continente pobre e ao mesmo tempo cristão" (p. 55), onde alguns que se dizem cristãos matam outros cristãos alinhados em favor dos pobres.</w:t>
      </w: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Se, na Europa, portanto, o problema de ontem era o ateísmo militante e, o dos nossos dias, a opaca indiferença, a teologia da libertação está sempre lutando contra a idolatria do dinheiro e do poder, que derrama o sangue do pobre para dele tirar lucro. Uma idolatria que é morte e cujo oposto é o Deus da vida (cf.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Gutiérrez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 </w:t>
      </w:r>
      <w:r w:rsidRPr="00ED2853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Il Dio della vita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Bréscia: Queriniana, 1992), o único capaz de restaurar dignidade ao pobre: </w:t>
      </w:r>
      <w:r w:rsidRPr="00ED285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gloria Dei vivens pauper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como gostava de dizer o bispo </w:t>
      </w:r>
      <w:hyperlink r:id="rId15" w:history="1">
        <w:r w:rsidRPr="00ED2853">
          <w:rPr>
            <w:rFonts w:ascii="Arial" w:eastAsia="Times New Roman" w:hAnsi="Arial" w:cs="Arial"/>
            <w:b/>
            <w:bCs/>
            <w:color w:val="E66101"/>
            <w:sz w:val="24"/>
            <w:szCs w:val="24"/>
            <w:lang w:eastAsia="es-ES"/>
          </w:rPr>
          <w:t>Óscar Arnulfo Romero</w:t>
        </w:r>
      </w:hyperlink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ecoando a célebre expressão de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Santo Irineu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Pr="00ED2853" w:rsidRDefault="00ED2853" w:rsidP="00ED2853">
      <w:pPr>
        <w:shd w:val="clear" w:color="auto" w:fill="FFFFFF"/>
        <w:spacing w:before="150" w:after="225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Fique claro que, no centro da teologia da libertação, não está o pobre, mas o Deus dos pobres, de modo que a razão principal da ''opção preferencial pelos pobres" não é a análise social (como defendem os opositores da teologia da libertação), mas sim o Deus em quem os cristãos acreditam na comunhão da Igreja.</w:t>
      </w:r>
    </w:p>
    <w:p w:rsidR="00ED2853" w:rsidRPr="00ED2853" w:rsidRDefault="00ED2853" w:rsidP="00ED2853">
      <w:pPr>
        <w:shd w:val="clear" w:color="auto" w:fill="FFFFFF"/>
        <w:spacing w:before="150" w:after="225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Isso faz da teologia da libertação uma teologia contextual, em sentido pleno (mesmo que dizer "teologia contextual", especifica o teólogo peruano, é, por si só, uma tautologia), uma teologia plenamente católica, que nasce de uma prática de espiritualidade vivida e de uma solidariedade concreta: de fato, a teologia continua sendo sempre "ato segundo", diante de um "ato primeiro" que é a dimensão ativa da práxis em favor dos pobres.</w:t>
      </w: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 é isso o que realmente importa, como afirma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Gutiérrez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na conclusão da sua terceira e última intervenção: "Devo confessar que estou menos preocupado com o interesse ou a sobrevivência da teologia da libertação do que com os sofrimentos e as esperanças do povo a que pertenço, e especialmente com a comunicação da experiência e da mensagem de salvação em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Jesus Cristo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 Esta última é matéria da nossa caridade e da nossa fé. Uma teologia, por mais relevante que seja a sua função, nada mais é do que um meio para aprofundá-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lastRenderedPageBreak/>
        <w:t>las. A teologia é uma hermenêutica da esperança vivida como um dom do Senhor. Com efeito, trata-se disto: de proclamar a esperança ao mundo no momento que vivemos como Igreja" (p. 174).</w:t>
      </w: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E, acima de tudo, de levantar as grandes questões, como faz a Escritura, quando YHWH comunica a Moisés uma prescrição a ser transmitida ao povo, a de se preocupar com onde dormirão aqueles que não têm com o que se cobrirem (cf. Êxodo 22, 25-26). Pergunta-se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Gutiérrez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a respeito desse texto: "Onde vão dormir os pobres no mundo que se prepara e que, de um certo modo, já deu os primeiros passos? O que será dos preferidos por Deus no futuro próximo</w:t>
      </w:r>
      <w:proofErr w:type="gramStart"/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?</w:t>
      </w:r>
      <w:proofErr w:type="gramEnd"/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" (p. 112).</w:t>
      </w: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As intervenções do arcebispo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Müller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que não esconde a sua amizade com o teólogo peruano, se voltam a valorizar a teologia da libertação, definida como "uma nova compreensão da teologia", e, mais especificamente, "reflexão teológica a serviço da práxis libertadora de Deus" (p. 22).</w:t>
      </w: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Recordando as suas origens em uma conferência realizada em 1968 por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Gutiérrez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em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Chimbote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no norte do </w:t>
      </w:r>
      <w:proofErr w:type="gramStart"/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Peru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(</w:t>
      </w:r>
      <w:proofErr w:type="gramEnd"/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ele, na verdade, tinha que falar sobre teologia do desenvolvimento, mas, preparando a palestra, se deu conta de que era mais bíblico e mais teológico deslocar a ênfase para a teologia da libertação [cf.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Rosino Gibellini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 </w:t>
      </w:r>
      <w:r w:rsidRPr="00ED2853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Il dibattito sulla teologia della liberazione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Bréscia: Queriniana, 1986, p. 126]), material que depois confluiu no famoso e emblemático</w:t>
      </w:r>
      <w:r w:rsidRPr="00ED2853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Teologia da Libertação. Perspectivas</w:t>
      </w:r>
      <w:r w:rsidRPr="00ED285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 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(dezembro de 1971, Lima, na edição peruana, e março de 1972 na edição italiana, que foi lançada antes da espanhola [a brasileira é de 1979]),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Müller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faz referência à décima edição do livro (1992), na qual o autor, em uma ampla introdução, esclarece algumas expressões passíveis de mal-entendidos, entre elas "opção preferencial pelos pobres", "luta de classes", "teoria da dependência", "pecado estrutural e social".</w:t>
      </w:r>
    </w:p>
    <w:p w:rsidR="00ED2853" w:rsidRPr="00ED2853" w:rsidRDefault="00ED2853" w:rsidP="00ED2853">
      <w:pPr>
        <w:shd w:val="clear" w:color="auto" w:fill="FFFFFF"/>
        <w:spacing w:before="150" w:after="225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"Aqui, ele também desmonta de modo convincente as acusações que foram feitas contra ele de horizontalismo e imanentização do cristianismo, que nunca deve ser instrumentalizado por uma ideologia voltada à edificação de um suposto paraíso na terra criado pelo homem. Ao contrário da teologia existencial de matriz europeia, a teologia da libertação se pergunta – mas não só – o que Deus, a graça e a revelação comportam com relação à compreensão de si dos cristãos inseridos em um contexto de sociedade do bem-estar e socialmente garantida. A teologia da libertação entende o trabalho teológico como participação ativa, prática – e, portanto, transformadora – do agir libertador integral, abrangente, inaugurado por Deus, graças ao qual o agir histórica do homem é feito capaz e chamado ao serviço da libertação e da humanização do próprio homem. Deve-se notar que a teologia da libertação não é uma construção teórica nascida abstratamente. Ela se vê em continuidade com o desenvolvimento global da teologia católica nos séculos XX e XXI" (p. 22).</w:t>
      </w: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 seguida,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Müller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identifica as sua fontes principais na </w:t>
      </w:r>
      <w:r w:rsidRPr="00ED2853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Populorum Progressio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de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Paulo VI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na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Constituição Pastoral </w:t>
      </w:r>
      <w:r w:rsidRPr="00ED2853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Gaudium et Spes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 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do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 Vaticano II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e na visão expressada pela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Constituição Dogmática </w:t>
      </w:r>
      <w:r w:rsidRPr="00ED2853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Lumen Gentium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 sobre a Igreja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como sacramento de salvação para o mundo, mas também nas grandes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Conferências do Episcopado 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lastRenderedPageBreak/>
        <w:t>Latino-Americano 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 Medellín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(1968),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Puebla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(1979 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 </w:t>
      </w:r>
      <w:r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Santo 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Domingo</w:t>
      </w:r>
      <w:r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(1992), que receberam e atualizaram a teologia católica do século XX no contexto sociocultural e espiritual do subcontinente latino-americano (sendo o texto de 2004, não é citada a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Assembleia Geral de Aparecida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de 2007).</w:t>
      </w: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Assim amadurecida e fortalecida, "a teologia da libertação não é apenas uma sociologia coberta de teologia ou uma espécie de de socioteologia. A teologia da libertação é teologia em sentido estrito" (p. 28). Não por acaso, o primeiro dos dois pronunciamentos vaticanos de 1984 (</w:t>
      </w:r>
      <w:r w:rsidRPr="00ED2853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Libertatis Nuntius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) – sintetiza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Müller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– evidencia que "as antropologias empíricas devem ser esclarecidas à luz de uma antropologia filosófica e teológica, tornando-se, assim, fecundas para uma investigação de tipo teológico" (p. 29).</w:t>
      </w: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 segunda instrução vaticana (</w:t>
      </w:r>
      <w:r w:rsidRPr="00ED2853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Libertatis conscientia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1986) especifica, por sua vez, o sentido cristão da liberdade e da libertação, e, dada a centralidade desse tema, o discurso é retomado no sétimo e último capítulo do livro:</w:t>
      </w:r>
      <w:r w:rsidRPr="00ED285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 "Vagliate ogni cosa e tenete ciò che è buono". A 25 anni dall’istruzione Libertatis conscientia sulla teologia della </w:t>
      </w:r>
      <w:proofErr w:type="gramStart"/>
      <w:r w:rsidRPr="00ED285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liberazione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[</w:t>
      </w:r>
      <w:proofErr w:type="gramEnd"/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"Examinem tudo e fiquem com o que é bom". A 25 anos da instrução Libertatis conscientia sobre a teologia da libertação] (p. 181-187).</w:t>
      </w: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Aqui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Müller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indica a finalidade de ambas as intervenções da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Congregação para a Doutrina da Fé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citadas acima: "Elas se propõem a preservar as 'teologias da libertação' de se tornarem ideologias, perdendo assim o seu caráter de teologia" (p. 182). A segunda, em particular, reconhece que, por sua natureza, o Evangelho "é mensagem de liberdade e libertação" (n. 1), embora a liberdade cristã não equivalha a anarquia e nunca é sem vínculos, enquanto a missão libertadora da Igreja deve fugir de todo tipo de violência (cf. n. 62). A instrução </w:t>
      </w:r>
      <w:r w:rsidRPr="00ED2853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lang w:eastAsia="es-ES"/>
        </w:rPr>
        <w:t>Libertatis conscientia</w:t>
      </w:r>
      <w:r w:rsidRPr="00ED285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 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também identifica os conteúdos positivos das novas abordagens elaboradas pela teologia da libertação, mostrando a sua </w:t>
      </w:r>
      <w:proofErr w:type="gramStart"/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fecundidade .</w:t>
      </w:r>
      <w:proofErr w:type="gramEnd"/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Deve-se lembrar que, no mesmo ano, 1986, em uma carta à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Conferência Nacional dos Bispos do Brasil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do dia 9 de abril (a instrução vaticana traz a data de 22 de março),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João Paulo II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afirmou que, "na medida em que se empenha por encontrar aquelas respostas justas (…), a teologia da libertação é não só oportuna mas útil e necessária".</w:t>
      </w: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</w:p>
    <w:p w:rsidR="00ED2853" w:rsidRPr="00ED2853" w:rsidRDefault="00ED2853" w:rsidP="00ED2853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Encerramos esta resenha com os agradecimentos que o arcebispo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Müller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dirige ao amigo teólogo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Gutiérrez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pelo seu precioso trabalho em favor da teologia europeia e da Igreja universal, selo de uma visão de Igreja que precisa de </w:t>
      </w:r>
      <w:proofErr w:type="gramStart"/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todas as</w:t>
      </w:r>
      <w:proofErr w:type="gramEnd"/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melhores contribuições: "Justamente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Gustavo Gutiérrez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indica ao nosso olhar totalmente concentrado na perspectiva europeia o que significa Igreja universal. Com a teologia da libertação, a Igreja Católica pôde aumentar ainda mais o pluralismo dentro dela. A teologia da </w:t>
      </w:r>
      <w:r w:rsidRPr="00ED285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América Latina</w:t>
      </w:r>
      <w:r w:rsidRPr="00ED285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revela e propõe hoje novos aspectos da teologia que integram uma perspectiva europeia muitas vezes incrustada" (p. 178).</w:t>
      </w:r>
    </w:p>
    <w:p w:rsidR="00B42E60" w:rsidRDefault="00B42E60"/>
    <w:sectPr w:rsidR="00B42E60" w:rsidSect="00B42E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ED2853"/>
    <w:rsid w:val="00B42E60"/>
    <w:rsid w:val="00ED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E60"/>
  </w:style>
  <w:style w:type="paragraph" w:styleId="Ttulo2">
    <w:name w:val="heading 2"/>
    <w:basedOn w:val="Normal"/>
    <w:link w:val="Ttulo2Car"/>
    <w:uiPriority w:val="9"/>
    <w:qFormat/>
    <w:rsid w:val="00ED28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D285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D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ED2853"/>
  </w:style>
  <w:style w:type="character" w:styleId="Hipervnculo">
    <w:name w:val="Hyperlink"/>
    <w:basedOn w:val="Fuentedeprrafopredeter"/>
    <w:uiPriority w:val="99"/>
    <w:semiHidden/>
    <w:unhideWhenUsed/>
    <w:rsid w:val="00ED285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D2853"/>
    <w:rPr>
      <w:b/>
      <w:bCs/>
    </w:rPr>
  </w:style>
  <w:style w:type="character" w:styleId="nfasis">
    <w:name w:val="Emphasis"/>
    <w:basedOn w:val="Fuentedeprrafopredeter"/>
    <w:uiPriority w:val="20"/>
    <w:qFormat/>
    <w:rsid w:val="00ED2853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2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8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entrevistas/519112-forum-social-mundial-o-que-aconteceu-em-tunis-foi-uma-sinergia-entrevista-especial-com-luiz-carlos-susin" TargetMode="External"/><Relationship Id="rId13" Type="http://schemas.openxmlformats.org/officeDocument/2006/relationships/hyperlink" Target="https://www.google.com/url?q=http://www.ihu.unisinos.br/noticias/521865-lumen-fidei-uma-fe-mais-itinerante-que-doutrinal-entrevista-com-christoph-theobald&amp;sa=U&amp;ei=uvUnUq35EaPWyQHN8IGgBQ&amp;ved=0CAoQFjAB&amp;client=internal-uds-cse&amp;usg=AFQjCNH2KAQyhy144sKeezPBsMUMC81O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noticias/505802-deus-meu-onde-estas-nao-me-ouves-para-remedio-dos-teus-pobres" TargetMode="External"/><Relationship Id="rId12" Type="http://schemas.openxmlformats.org/officeDocument/2006/relationships/hyperlink" Target="https://www.google.com/url?q=http://www.ihu.unisinos.br/noticias/17685-apresentada-a-opera-omnia-de-joseph-ratzinger&amp;sa=U&amp;ei=fPUnUsGPAYHXygHF7YG4DA&amp;ved=0CAcQFjAA&amp;client=internal-uds-cse&amp;usg=AFQjCNGp5bBnueRMowg7FTeXae25lvJvmQ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ihu.unisinos.br/noticias/506316-o-concilio-que-faz-a-diferenca&amp;sa=U&amp;ei=Q_MnUuvYIayMyAHzyoCgBA&amp;ved=0CAoQFjAB&amp;client=internal-uds-cse&amp;usg=AFQjCNF6dFNg6TOrlezD8fEZ5zoP9wn4xQ" TargetMode="External"/><Relationship Id="rId11" Type="http://schemas.openxmlformats.org/officeDocument/2006/relationships/hyperlink" Target="https://www.google.com/url?q=http://www.ihu.unisinos.br/noticias/520360-e-necessario-distinguir-entre-uma-teologia-da-libertacao-equivocada-e-uma-correta-afirma-gerhard-mueller&amp;sa=U&amp;ei=RPInUuDMDqfj2QXUzoDwBg&amp;ved=0CAwQFjAC&amp;client=internal-uds-cse&amp;usg=AFQjCNEn3-WcJWfXwUhWfEw9bCqikuW2Fg" TargetMode="External"/><Relationship Id="rId5" Type="http://schemas.openxmlformats.org/officeDocument/2006/relationships/hyperlink" Target="http://www.ihu.unisinos.br/noticias/523365-o-losservatore-romano-da-espaco-a-teologia-da-libertacao" TargetMode="External"/><Relationship Id="rId15" Type="http://schemas.openxmlformats.org/officeDocument/2006/relationships/hyperlink" Target="https://www.google.com/url?q=http://www.ihu.unisinos.br/noticias/522228-terminam-os-exames-doutrinais-sobre-a-beatificacao-de-romero&amp;sa=U&amp;ei=TvYnUuLlM8eqyQHbloGgDg&amp;ved=0CBAQFjAD&amp;client=internal-uds-cse&amp;usg=AFQjCNECtxSFzfEWyt-cPcvB6qr8YSzJYA" TargetMode="External"/><Relationship Id="rId10" Type="http://schemas.openxmlformats.org/officeDocument/2006/relationships/hyperlink" Target="https://www.google.com/url?q=http://www.ihu.unisinos.br/noticias/522076-a-teologia-do-povo-entrevista-com-juan-carlos-scannone&amp;sa=U&amp;ei=RfUnUqaKCsnOyQH_l4DYBA&amp;ved=0CA0QFjAC&amp;client=internal-uds-cse&amp;usg=AFQjCNEYEvk22rtaTx2j0Wsuli3XlcVBo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google.com/url?q=http://www.ihu.unisinos.br/noticias/520470-a-teologia-de-francisco-entrevista-com-juan-carlos-scannone&amp;sa=U&amp;ei=RfUnUqaKCsnOyQH_l4DYBA&amp;ved=0CAcQFjAA&amp;client=internal-uds-cse&amp;usg=AFQjCNFMcXXU-EKT1B4Dzfp5utFxmnvHMA" TargetMode="External"/><Relationship Id="rId14" Type="http://schemas.openxmlformats.org/officeDocument/2006/relationships/hyperlink" Target="https://www.google.com/url?q=http://www.ihu.unisinos.br/noticias-ignacio/58602-ignacio-ellacuria-um-pensador-negociador-e-cristao&amp;sa=U&amp;ei=BPYnUpDNGOGNygHh2IGgDg&amp;ved=0CAkQFjAB&amp;client=internal-uds-cse&amp;usg=AFQjCNE6wEJfaJFoym1cGOL6pxK7aicx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3148</Words>
  <Characters>17314</Characters>
  <Application>Microsoft Office Word</Application>
  <DocSecurity>0</DocSecurity>
  <Lines>144</Lines>
  <Paragraphs>40</Paragraphs>
  <ScaleCrop>false</ScaleCrop>
  <Company/>
  <LinksUpToDate>false</LinksUpToDate>
  <CharactersWithSpaces>20422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2013-09-10T19:07:00Z</dcterms:created>
  <dcterms:modified xsi:type="dcterms:W3CDTF">2013-09-10T19:10:00Z</dcterms:modified>
</cp:coreProperties>
</file>