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4364" w:rsidRDefault="00534364" w:rsidP="00534364">
      <w:pPr>
        <w:jc w:val="center"/>
        <w:rPr>
          <w:rFonts w:cs="Times New Roman"/>
          <w:b/>
          <w:color w:val="943634"/>
          <w:sz w:val="28"/>
          <w:szCs w:val="28"/>
          <w:lang w:val="es-ES_tradnl"/>
        </w:rPr>
      </w:pPr>
      <w:r w:rsidRPr="00F759B3">
        <w:rPr>
          <w:rFonts w:cs="Times New Roman"/>
          <w:b/>
          <w:color w:val="943634"/>
          <w:sz w:val="28"/>
          <w:szCs w:val="28"/>
          <w:lang w:val="es-ES_tradnl"/>
        </w:rPr>
        <w:t>EL FIN DEL “CÍRCULO CONVERSACIONAL” EN LAS COMUNIDADES CRISTIANAS PRIMITIVAS</w:t>
      </w:r>
    </w:p>
    <w:p w:rsidR="00534364" w:rsidRPr="00F759B3" w:rsidRDefault="00534364" w:rsidP="00534364">
      <w:pPr>
        <w:jc w:val="center"/>
        <w:rPr>
          <w:rFonts w:cs="Times New Roman"/>
          <w:b/>
          <w:color w:val="943634"/>
          <w:sz w:val="28"/>
          <w:szCs w:val="28"/>
          <w:lang w:val="es-ES_tradnl"/>
        </w:rPr>
      </w:pPr>
      <w:r>
        <w:rPr>
          <w:rFonts w:cs="Times New Roman"/>
          <w:b/>
          <w:color w:val="943634"/>
          <w:sz w:val="28"/>
          <w:szCs w:val="28"/>
          <w:lang w:val="es-ES_tradnl"/>
        </w:rPr>
        <w:t>Cuarta parte</w:t>
      </w:r>
    </w:p>
    <w:p w:rsidR="00534364" w:rsidRDefault="00534364" w:rsidP="00534364">
      <w:pPr>
        <w:jc w:val="right"/>
        <w:rPr>
          <w:lang w:val="es-ES"/>
        </w:rPr>
      </w:pPr>
      <w:r w:rsidRPr="00F759B3">
        <w:rPr>
          <w:rFonts w:cs="Times New Roman"/>
          <w:lang w:val="es-ES_tradnl"/>
        </w:rPr>
        <w:t>Ricardo Acuña Díaz</w:t>
      </w:r>
      <w:r w:rsidRPr="00F759B3">
        <w:rPr>
          <w:rFonts w:cs="Times New Roman"/>
          <w:vertAlign w:val="superscript"/>
          <w:lang w:val="es-ES_tradnl"/>
        </w:rPr>
        <w:footnoteReference w:customMarkFollows="1" w:id="1"/>
        <w:sym w:font="Symbol" w:char="F02A"/>
      </w:r>
    </w:p>
    <w:p w:rsidR="00534364" w:rsidRDefault="00534364" w:rsidP="00534364">
      <w:pPr>
        <w:jc w:val="both"/>
        <w:rPr>
          <w:lang w:val="es-ES"/>
        </w:rPr>
      </w:pPr>
    </w:p>
    <w:p w:rsidR="00534364" w:rsidRPr="00F759B3" w:rsidRDefault="00534364" w:rsidP="00534364">
      <w:pPr>
        <w:ind w:left="720"/>
        <w:jc w:val="both"/>
        <w:rPr>
          <w:rFonts w:cs="Times New Roman"/>
          <w:lang w:val="es-ES_tradnl"/>
        </w:rPr>
      </w:pPr>
      <w:r w:rsidRPr="00F759B3">
        <w:rPr>
          <w:rFonts w:cs="Times New Roman"/>
          <w:lang w:val="es-ES_tradnl"/>
        </w:rPr>
        <w:t>Trágicamente, el hecho es que las Comunidades cristianas de los primeros 400 años fueron, efectivamente, atravesadas por la división y el conflicto. Y esa división consiguió envenenar y paralizar sus “círculos conversacionales”, luego quebrarlos, desplazarlos, anularlos, para finalmente eliminarlos por condenación mediante recursos de excomunión. Lo veremos enseguida.</w:t>
      </w:r>
    </w:p>
    <w:p w:rsidR="00534364" w:rsidRPr="00F759B3" w:rsidRDefault="00534364" w:rsidP="00534364">
      <w:pPr>
        <w:spacing w:after="120"/>
        <w:jc w:val="center"/>
        <w:rPr>
          <w:rFonts w:cs="Times New Roman"/>
          <w:lang w:val="es-ES_tradnl"/>
        </w:rPr>
      </w:pPr>
      <w:r>
        <w:rPr>
          <w:rFonts w:cs="Times New Roman"/>
          <w:noProof/>
          <w:lang w:val="es-ES" w:eastAsia="es-ES"/>
        </w:rPr>
        <w:drawing>
          <wp:inline distT="0" distB="0" distL="0" distR="0">
            <wp:extent cx="1160780" cy="894080"/>
            <wp:effectExtent l="0" t="0" r="7620" b="0"/>
            <wp:docPr id="1" name="Imagen 16" descr="ANd9GcTXbU9gHfATmCtGpqxq6KoL7BEKp4eY3mJEQKbYZ7EjmPGOuw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ANd9GcTXbU9gHfATmCtGpqxq6KoL7BEKp4eY3mJEQKbYZ7EjmPGOuwh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0780" cy="894080"/>
                    </a:xfrm>
                    <a:prstGeom prst="rect">
                      <a:avLst/>
                    </a:prstGeom>
                    <a:noFill/>
                    <a:ln>
                      <a:noFill/>
                    </a:ln>
                  </pic:spPr>
                </pic:pic>
              </a:graphicData>
            </a:graphic>
          </wp:inline>
        </w:drawing>
      </w:r>
    </w:p>
    <w:p w:rsidR="00534364" w:rsidRPr="00F759B3" w:rsidRDefault="00534364" w:rsidP="00534364">
      <w:pPr>
        <w:jc w:val="both"/>
      </w:pPr>
      <w:r w:rsidRPr="00F759B3">
        <w:rPr>
          <w:rFonts w:cs="Times New Roman"/>
          <w:lang w:val="es-ES_tradnl"/>
        </w:rPr>
        <w:t xml:space="preserve">Finalmente, veamos el </w:t>
      </w:r>
      <w:r w:rsidRPr="00F759B3">
        <w:rPr>
          <w:rFonts w:cs="Times New Roman"/>
          <w:b/>
          <w:lang w:val="es-ES_tradnl"/>
        </w:rPr>
        <w:t>factor “ascenso del clero”</w:t>
      </w:r>
      <w:r w:rsidRPr="00F759B3">
        <w:rPr>
          <w:rFonts w:cs="Times New Roman"/>
          <w:lang w:val="es-ES_tradnl"/>
        </w:rPr>
        <w:t xml:space="preserve">. Se trata de un aspecto de la historia que ya ha sido tratado de manera brillante por muchos. Solo permítame recomendarle el capítulo </w:t>
      </w:r>
      <w:r w:rsidRPr="00F759B3">
        <w:rPr>
          <w:bCs/>
          <w:i/>
        </w:rPr>
        <w:t>Formación progresiva de la jerarquía</w:t>
      </w:r>
      <w:r w:rsidRPr="00F759B3">
        <w:rPr>
          <w:bCs/>
        </w:rPr>
        <w:t xml:space="preserve"> en la obra de Herbert Haag, </w:t>
      </w:r>
      <w:r w:rsidRPr="00F759B3">
        <w:rPr>
          <w:bCs/>
          <w:i/>
        </w:rPr>
        <w:t>¿Qué Iglesia quería Jesús?</w:t>
      </w:r>
      <w:r w:rsidRPr="00F759B3">
        <w:rPr>
          <w:b/>
          <w:iCs/>
          <w:color w:val="FF0000"/>
          <w:vertAlign w:val="superscript"/>
        </w:rPr>
        <w:endnoteReference w:id="1"/>
      </w:r>
      <w:r w:rsidRPr="00F759B3">
        <w:rPr>
          <w:bCs/>
          <w:iCs/>
        </w:rPr>
        <w:t>.</w:t>
      </w:r>
      <w:r w:rsidRPr="00F759B3">
        <w:t xml:space="preserve"> Por supuesto, todos los factores anteriormente expuestos han contribuido a que aparezca la distinción “clero-pueblo”, que era muy ajena al origen jesuánico. Aunque la totalidad de esos factores no han sido asumidos por Haag, sus conclusiones, no obstante, encajan perfectamente en el cuadro que nos estamos haciendo:</w:t>
      </w:r>
    </w:p>
    <w:p w:rsidR="00534364" w:rsidRPr="00F759B3" w:rsidRDefault="00534364" w:rsidP="00534364">
      <w:pPr>
        <w:spacing w:after="120" w:line="240" w:lineRule="auto"/>
        <w:ind w:left="709"/>
        <w:jc w:val="both"/>
        <w:rPr>
          <w:iCs/>
        </w:rPr>
      </w:pPr>
      <w:r w:rsidRPr="00F759B3">
        <w:rPr>
          <w:iCs/>
        </w:rPr>
        <w:t xml:space="preserve">En el transcurso del siglo </w:t>
      </w:r>
      <w:r w:rsidRPr="00F759B3">
        <w:rPr>
          <w:iCs/>
          <w:smallCaps/>
        </w:rPr>
        <w:t>iii</w:t>
      </w:r>
      <w:r w:rsidRPr="00F759B3">
        <w:rPr>
          <w:iCs/>
        </w:rPr>
        <w:t xml:space="preserve"> se consuma definitivamente la división entre clero y seglares. La Iglesia se vuelve clerical en el pleno sentido de la palabra. Por una parte existe el «presbiterado», presidido por el obispo (que puede o ser un presbítero como los demás o estar por encima de ellos), y por otra los fieles.</w:t>
      </w:r>
    </w:p>
    <w:p w:rsidR="00534364" w:rsidRPr="00F759B3" w:rsidRDefault="00534364" w:rsidP="00534364">
      <w:pPr>
        <w:spacing w:after="120" w:line="240" w:lineRule="auto"/>
        <w:ind w:left="708"/>
        <w:jc w:val="both"/>
        <w:rPr>
          <w:rFonts w:cs="Times New Roman"/>
        </w:rPr>
      </w:pPr>
      <w:r w:rsidRPr="00F759B3">
        <w:rPr>
          <w:iCs/>
        </w:rPr>
        <w:t xml:space="preserve">[…] </w:t>
      </w:r>
      <w:r w:rsidRPr="00F759B3">
        <w:rPr>
          <w:rFonts w:cs="Times New Roman"/>
        </w:rPr>
        <w:t>Jesús rechazó el sacerdocio judío y los sacrificios cruentos de su época. Rompió las relaciones con el Templo y su culto, celebrado por sacerdotes. Anunció la ruina del Templo de Jerusalén y dio a entender que en su lugar no imaginaba ningún otro templo. Por eso fueron los sacerdotes judíos quienes le llevaron a la cruz.</w:t>
      </w:r>
    </w:p>
    <w:p w:rsidR="00534364" w:rsidRPr="00F759B3" w:rsidRDefault="00534364" w:rsidP="00534364">
      <w:pPr>
        <w:spacing w:after="120" w:line="240" w:lineRule="auto"/>
        <w:ind w:left="709"/>
        <w:jc w:val="both"/>
        <w:rPr>
          <w:rFonts w:cs="Times New Roman"/>
        </w:rPr>
      </w:pPr>
      <w:r w:rsidRPr="00F759B3">
        <w:rPr>
          <w:rFonts w:cs="Times New Roman"/>
          <w:iCs/>
        </w:rPr>
        <w:t>[…]</w:t>
      </w:r>
      <w:r w:rsidRPr="00F759B3">
        <w:rPr>
          <w:rFonts w:cs="Times New Roman"/>
        </w:rPr>
        <w:t xml:space="preserve"> Ni una sola palabra de Jesús permite deducir que deseara ver entre sus seguidores un nuevo sacerdocio y un nuevo culto con carácter de sacrificio. Él mismo no era sacerdote, como no lo fue ninguno de los doce apóstoles, ni Pablo. Tampoco en los restantes escritos neotestamentarios se percibe huella alguna de un nuevo sacerdocio.</w:t>
      </w:r>
    </w:p>
    <w:p w:rsidR="00534364" w:rsidRPr="00F759B3" w:rsidRDefault="00534364" w:rsidP="00534364">
      <w:pPr>
        <w:spacing w:after="120" w:line="240" w:lineRule="auto"/>
        <w:ind w:left="708"/>
        <w:jc w:val="both"/>
        <w:rPr>
          <w:rFonts w:cs="Times New Roman"/>
        </w:rPr>
      </w:pPr>
      <w:r w:rsidRPr="00F759B3">
        <w:rPr>
          <w:rFonts w:cs="Times New Roman"/>
          <w:iCs/>
        </w:rPr>
        <w:t>[…]</w:t>
      </w:r>
      <w:r w:rsidRPr="00F759B3">
        <w:rPr>
          <w:rFonts w:cs="Times New Roman"/>
        </w:rPr>
        <w:t xml:space="preserve"> Jesús no quiso que hubiera entre sus discípulos distintas clases o estados. «Todos sois hermanos», declara (Mt 23,8). Por ello los primeros cristianos se daban unos a otros el nombre de «hermanos» y «hermanas», teniéndose por tales.</w:t>
      </w:r>
    </w:p>
    <w:p w:rsidR="00534364" w:rsidRPr="00F759B3" w:rsidRDefault="00534364" w:rsidP="00534364">
      <w:pPr>
        <w:spacing w:line="240" w:lineRule="auto"/>
        <w:ind w:left="709"/>
        <w:jc w:val="both"/>
        <w:rPr>
          <w:rFonts w:cs="Times New Roman"/>
          <w:bCs/>
        </w:rPr>
      </w:pPr>
      <w:r w:rsidRPr="00F759B3">
        <w:rPr>
          <w:rFonts w:cs="Times New Roman"/>
          <w:iCs/>
        </w:rPr>
        <w:t>[…]</w:t>
      </w:r>
      <w:r w:rsidRPr="00F759B3">
        <w:rPr>
          <w:rFonts w:cs="Times New Roman"/>
        </w:rPr>
        <w:t xml:space="preserve"> En contradicción con esa consigna de Jesús, se constituyó a partir del siglo </w:t>
      </w:r>
      <w:r w:rsidRPr="00F759B3">
        <w:rPr>
          <w:rFonts w:cs="Times New Roman"/>
          <w:smallCaps/>
        </w:rPr>
        <w:t>iii</w:t>
      </w:r>
      <w:r w:rsidRPr="00F759B3">
        <w:rPr>
          <w:rFonts w:cs="Times New Roman"/>
        </w:rPr>
        <w:t xml:space="preserve"> una «jerarquía» o «autoridad sagrada», de resultas de la cual los fieles quedaron divididos en dos estamentos: clero y laicado, «ordenados» y «pueblo». La jerarquía reivindicó para sí la dirección de las comunidades y, sobre todo, la liturgia. Acrecentó más y más sus poderes hasta que el papel de los seglares quedó reducido al de meros servidores obligados a obedecer. </w:t>
      </w:r>
      <w:r w:rsidRPr="00F759B3">
        <w:rPr>
          <w:rFonts w:cs="Times New Roman"/>
          <w:iCs/>
        </w:rPr>
        <w:t>[…]</w:t>
      </w:r>
      <w:r w:rsidRPr="00F759B3">
        <w:rPr>
          <w:rFonts w:cs="Times New Roman"/>
          <w:b/>
          <w:bCs/>
          <w:iCs/>
          <w:color w:val="FF0000"/>
          <w:vertAlign w:val="superscript"/>
        </w:rPr>
        <w:endnoteReference w:id="2"/>
      </w:r>
      <w:r w:rsidRPr="00F759B3">
        <w:rPr>
          <w:rFonts w:cs="Times New Roman"/>
          <w:bCs/>
        </w:rPr>
        <w:t>.</w:t>
      </w:r>
    </w:p>
    <w:p w:rsidR="00534364" w:rsidRPr="00F759B3" w:rsidRDefault="00534364" w:rsidP="00534364">
      <w:pPr>
        <w:jc w:val="center"/>
        <w:rPr>
          <w:rFonts w:cs="Times New Roman"/>
          <w:bCs/>
        </w:rPr>
      </w:pPr>
      <w:r>
        <w:rPr>
          <w:rFonts w:cs="Times New Roman"/>
          <w:noProof/>
          <w:lang w:val="es-ES" w:eastAsia="es-ES"/>
        </w:rPr>
        <w:lastRenderedPageBreak/>
        <w:drawing>
          <wp:inline distT="0" distB="0" distL="0" distR="0">
            <wp:extent cx="2794635" cy="1181735"/>
            <wp:effectExtent l="0" t="0" r="0" b="12065"/>
            <wp:docPr id="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8">
                      <a:extLst>
                        <a:ext uri="{28A0092B-C50C-407E-A947-70E740481C1C}">
                          <a14:useLocalDpi xmlns:a14="http://schemas.microsoft.com/office/drawing/2010/main" val="0"/>
                        </a:ext>
                      </a:extLst>
                    </a:blip>
                    <a:srcRect t="12352" b="12088"/>
                    <a:stretch>
                      <a:fillRect/>
                    </a:stretch>
                  </pic:blipFill>
                  <pic:spPr bwMode="auto">
                    <a:xfrm>
                      <a:off x="0" y="0"/>
                      <a:ext cx="2794635" cy="1181735"/>
                    </a:xfrm>
                    <a:prstGeom prst="rect">
                      <a:avLst/>
                    </a:prstGeom>
                    <a:noFill/>
                    <a:ln>
                      <a:noFill/>
                    </a:ln>
                  </pic:spPr>
                </pic:pic>
              </a:graphicData>
            </a:graphic>
          </wp:inline>
        </w:drawing>
      </w:r>
      <w:r>
        <w:rPr>
          <w:rFonts w:cs="Times New Roman"/>
          <w:noProof/>
          <w:lang w:val="es-ES" w:eastAsia="es-ES"/>
        </w:rPr>
        <w:drawing>
          <wp:inline distT="0" distB="0" distL="0" distR="0">
            <wp:extent cx="2794635" cy="1181735"/>
            <wp:effectExtent l="0" t="0" r="0" b="12065"/>
            <wp:docPr id="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9">
                      <a:extLst>
                        <a:ext uri="{28A0092B-C50C-407E-A947-70E740481C1C}">
                          <a14:useLocalDpi xmlns:a14="http://schemas.microsoft.com/office/drawing/2010/main" val="0"/>
                        </a:ext>
                      </a:extLst>
                    </a:blip>
                    <a:srcRect t="12111" b="12349"/>
                    <a:stretch>
                      <a:fillRect/>
                    </a:stretch>
                  </pic:blipFill>
                  <pic:spPr bwMode="auto">
                    <a:xfrm>
                      <a:off x="0" y="0"/>
                      <a:ext cx="2794635" cy="1181735"/>
                    </a:xfrm>
                    <a:prstGeom prst="rect">
                      <a:avLst/>
                    </a:prstGeom>
                    <a:noFill/>
                    <a:ln>
                      <a:noFill/>
                    </a:ln>
                  </pic:spPr>
                </pic:pic>
              </a:graphicData>
            </a:graphic>
          </wp:inline>
        </w:drawing>
      </w:r>
    </w:p>
    <w:p w:rsidR="00534364" w:rsidRPr="00F759B3" w:rsidRDefault="00534364" w:rsidP="00534364">
      <w:pPr>
        <w:jc w:val="both"/>
        <w:rPr>
          <w:rFonts w:cs="Times New Roman"/>
          <w:bCs/>
        </w:rPr>
      </w:pPr>
      <w:r w:rsidRPr="00F759B3">
        <w:rPr>
          <w:rFonts w:cs="Times New Roman"/>
          <w:bCs/>
        </w:rPr>
        <w:t xml:space="preserve">El proceso parece haber comenzado ya con la tercera generación </w:t>
      </w:r>
      <w:r w:rsidRPr="00F759B3">
        <w:rPr>
          <w:rFonts w:cs="Times New Roman"/>
          <w:bCs/>
          <w:lang w:val="es-ES_tradnl"/>
        </w:rPr>
        <w:t>–</w:t>
      </w:r>
      <w:r w:rsidRPr="00F759B3">
        <w:rPr>
          <w:rFonts w:cs="Times New Roman"/>
          <w:bCs/>
        </w:rPr>
        <w:t>que ha sido denominada “post apostólica”</w:t>
      </w:r>
      <w:r w:rsidRPr="00F759B3">
        <w:rPr>
          <w:rFonts w:cs="Times New Roman"/>
          <w:bCs/>
          <w:lang w:val="es-ES_tradnl"/>
        </w:rPr>
        <w:t>–</w:t>
      </w:r>
      <w:r w:rsidRPr="00F759B3">
        <w:rPr>
          <w:rFonts w:cs="Times New Roman"/>
          <w:bCs/>
        </w:rPr>
        <w:t xml:space="preserve"> entre el 95 y el 138 d.C. Hay serios e informados trabajos que nos aportan más claridad acerca de este crucial surgimiento del “clero” y cómo sería el proceso por medio del cual habría ello ocurrido. Por ejemplo el siguiente, que nos describe magistralmente la existencia simultánea de dos praxis y eclesiologías distintas </w:t>
      </w:r>
      <w:r w:rsidRPr="00F759B3">
        <w:rPr>
          <w:rFonts w:cs="Times New Roman"/>
          <w:bCs/>
          <w:lang w:val="es-ES_tradnl"/>
        </w:rPr>
        <w:t>–</w:t>
      </w:r>
      <w:r w:rsidRPr="00F759B3">
        <w:rPr>
          <w:rFonts w:cs="Times New Roman"/>
          <w:bCs/>
        </w:rPr>
        <w:t>y la tensión consiguiente entre ellas</w:t>
      </w:r>
      <w:r w:rsidRPr="00F759B3">
        <w:rPr>
          <w:rFonts w:cs="Times New Roman"/>
          <w:bCs/>
          <w:lang w:val="es-ES_tradnl"/>
        </w:rPr>
        <w:t>–</w:t>
      </w:r>
      <w:r w:rsidRPr="00F759B3">
        <w:rPr>
          <w:rFonts w:cs="Times New Roman"/>
          <w:bCs/>
        </w:rPr>
        <w:t xml:space="preserve"> en el seno de las varias comunidades cristianas que se reunían por entonces en la ciudad de Roma, capital del Imperio. Se trata de una larga cita, pero debido a su alto valor historiográfico y a sus muy actualizados datos me veo obligado a exponerla ahora al lector y pido su paciencia:</w:t>
      </w:r>
    </w:p>
    <w:p w:rsidR="00534364" w:rsidRPr="00F759B3" w:rsidRDefault="00534364" w:rsidP="00534364">
      <w:pPr>
        <w:spacing w:after="120" w:line="240" w:lineRule="auto"/>
        <w:ind w:left="709"/>
        <w:jc w:val="both"/>
        <w:rPr>
          <w:rFonts w:cs="Times New Roman"/>
        </w:rPr>
      </w:pPr>
      <w:r w:rsidRPr="00F759B3">
        <w:rPr>
          <w:rFonts w:cs="Times New Roman"/>
          <w:bCs/>
        </w:rPr>
        <w:t>[…] Los que califican a Pedro como obispo no lo están honrando, sino al contrario, rebajándolo de su rol histórico único de apóstol. Pedro fue apóstol y mártir en Roma y es su gran honra. Su ministerio apostólico en Roma no lo constituye necesariamente obispo de esa ciudad</w:t>
      </w:r>
      <w:bookmarkStart w:id="0" w:name="_ftnref5"/>
      <w:r w:rsidRPr="00F759B3">
        <w:rPr>
          <w:rFonts w:cs="Times New Roman"/>
          <w:b/>
          <w:bCs/>
        </w:rPr>
        <w:t> </w:t>
      </w:r>
      <w:bookmarkEnd w:id="0"/>
      <w:r w:rsidRPr="00F759B3">
        <w:rPr>
          <w:rFonts w:cs="Times New Roman"/>
        </w:rPr>
        <w:t>[</w:t>
      </w:r>
      <w:r w:rsidRPr="00F759B3">
        <w:rPr>
          <w:rFonts w:cs="Times New Roman"/>
          <w:i/>
          <w:iCs/>
          <w:smallCaps/>
        </w:rPr>
        <w:t>nota 5</w:t>
      </w:r>
      <w:r w:rsidRPr="00F759B3">
        <w:rPr>
          <w:rFonts w:cs="Times New Roman"/>
          <w:i/>
          <w:iCs/>
        </w:rPr>
        <w:t>:</w:t>
      </w:r>
      <w:r w:rsidRPr="00F759B3">
        <w:rPr>
          <w:rFonts w:cs="Times New Roman"/>
        </w:rPr>
        <w:t xml:space="preserve"> </w:t>
      </w:r>
      <w:r w:rsidRPr="00F759B3">
        <w:rPr>
          <w:rFonts w:cs="Times New Roman"/>
          <w:i/>
          <w:iCs/>
        </w:rPr>
        <w:t>id.</w:t>
      </w:r>
      <w:r w:rsidRPr="00F759B3">
        <w:rPr>
          <w:rFonts w:cs="Times New Roman"/>
        </w:rPr>
        <w:t xml:space="preserve"> Brown/Meier, </w:t>
      </w:r>
      <w:r w:rsidRPr="00F759B3">
        <w:rPr>
          <w:rFonts w:cs="Times New Roman"/>
          <w:i/>
          <w:iCs/>
        </w:rPr>
        <w:t>Antioch and Rome. New Testament cradles of catholic Christianity</w:t>
      </w:r>
      <w:r w:rsidRPr="00F759B3">
        <w:rPr>
          <w:rFonts w:cs="Times New Roman"/>
        </w:rPr>
        <w:t>, p. 164, nota 349: ‘es anacrónica la tesis que Pedro ejerció como obispo de Roma. Es curioso que esto es defendido por aquellos que tratan de honrar a Pedro y no reconocen que su rol de Apóstol es una función histórica única que está muy por encima del rol de obispo local. Pedro fue históricamente un apóstol que murió en Roma. Si parte de su apostolado fue ejercido en esa Iglesia, eso no lo constituye en un supervisor eclesial (</w:t>
      </w:r>
      <w:r w:rsidRPr="00F759B3">
        <w:rPr>
          <w:rFonts w:cs="Times New Roman"/>
          <w:i/>
          <w:iCs/>
        </w:rPr>
        <w:t>e.d.</w:t>
      </w:r>
      <w:r w:rsidRPr="00F759B3">
        <w:rPr>
          <w:rFonts w:cs="Times New Roman"/>
        </w:rPr>
        <w:t xml:space="preserve"> obispo). Filipenses 1,1 muestra que Pablo se distingue a sí mismo de los obispos’]</w:t>
      </w:r>
      <w:r w:rsidRPr="00F759B3">
        <w:rPr>
          <w:rFonts w:cs="Times New Roman"/>
          <w:bCs/>
        </w:rPr>
        <w:t xml:space="preserve">. Solo en el siglo </w:t>
      </w:r>
      <w:r w:rsidRPr="00F759B3">
        <w:rPr>
          <w:rFonts w:cs="Times New Roman"/>
          <w:bCs/>
          <w:smallCaps/>
        </w:rPr>
        <w:t>iii</w:t>
      </w:r>
      <w:r w:rsidRPr="00F759B3">
        <w:rPr>
          <w:rFonts w:cs="Times New Roman"/>
          <w:bCs/>
        </w:rPr>
        <w:t xml:space="preserve"> será llamado Pedro obispo de Roma. La estructura de obispo-único (‘the single-bishop structure’) no llegó a Roma sino hasta los años 140-150 d.C. La lista de obispos de Roma (Pedro, Lino, Anacleto, Clemente, etc…) como obispos únicos de la ciudad de Roma, es una visión errónea que Irineo y otros autores proyectan hacia el pasado. Los nombres más antiguos que se citan en estas listas de obispos de Roma son probablemente los nombres de los </w:t>
      </w:r>
      <w:r w:rsidRPr="00F759B3">
        <w:rPr>
          <w:rFonts w:cs="Times New Roman"/>
          <w:bCs/>
          <w:i/>
          <w:iCs/>
        </w:rPr>
        <w:t>presbíteros-obispos</w:t>
      </w:r>
      <w:r w:rsidRPr="00F759B3">
        <w:rPr>
          <w:rFonts w:cs="Times New Roman"/>
          <w:bCs/>
        </w:rPr>
        <w:t xml:space="preserve"> más famosos de los primeros cien años del cristianismo romano, </w:t>
      </w:r>
      <w:r w:rsidRPr="00F759B3">
        <w:rPr>
          <w:rFonts w:cs="Times New Roman"/>
          <w:bCs/>
          <w:i/>
          <w:iCs/>
        </w:rPr>
        <w:t>muchos de los cuales funcionaban simultáneamente</w:t>
      </w:r>
      <w:r w:rsidRPr="00F759B3">
        <w:rPr>
          <w:rFonts w:cs="Times New Roman"/>
        </w:rPr>
        <w:t xml:space="preserve"> [</w:t>
      </w:r>
      <w:r w:rsidRPr="00F759B3">
        <w:rPr>
          <w:rFonts w:cs="Times New Roman"/>
          <w:i/>
          <w:iCs/>
          <w:smallCaps/>
        </w:rPr>
        <w:t>nota</w:t>
      </w:r>
      <w:r w:rsidRPr="00F759B3">
        <w:rPr>
          <w:rFonts w:cs="Times New Roman"/>
          <w:i/>
          <w:iCs/>
        </w:rPr>
        <w:t xml:space="preserve"> 6:</w:t>
      </w:r>
      <w:r w:rsidRPr="00F759B3">
        <w:rPr>
          <w:rFonts w:cs="Times New Roman"/>
        </w:rPr>
        <w:t xml:space="preserve"> </w:t>
      </w:r>
      <w:r w:rsidRPr="00F759B3">
        <w:rPr>
          <w:rFonts w:cs="Times New Roman"/>
          <w:i/>
          <w:iCs/>
        </w:rPr>
        <w:t>id.</w:t>
      </w:r>
      <w:r w:rsidRPr="00F759B3">
        <w:rPr>
          <w:rFonts w:cs="Times New Roman"/>
        </w:rPr>
        <w:t xml:space="preserve"> p. 163-164].</w:t>
      </w:r>
    </w:p>
    <w:p w:rsidR="00534364" w:rsidRPr="00F759B3" w:rsidRDefault="00534364" w:rsidP="00534364">
      <w:pPr>
        <w:spacing w:after="0" w:line="240" w:lineRule="auto"/>
        <w:ind w:left="709"/>
        <w:jc w:val="both"/>
        <w:rPr>
          <w:rFonts w:cs="Times New Roman"/>
        </w:rPr>
      </w:pPr>
      <w:r w:rsidRPr="00F759B3">
        <w:rPr>
          <w:rFonts w:cs="Times New Roman"/>
          <w:bCs/>
        </w:rPr>
        <w:t>[…]</w:t>
      </w:r>
      <w:r w:rsidRPr="00F759B3">
        <w:rPr>
          <w:rFonts w:cs="Times New Roman"/>
        </w:rPr>
        <w:t xml:space="preserve"> </w:t>
      </w:r>
      <w:r w:rsidRPr="00F759B3">
        <w:rPr>
          <w:rFonts w:cs="Times New Roman"/>
          <w:i/>
          <w:iCs/>
        </w:rPr>
        <w:t>Primera carta de Pedro</w:t>
      </w:r>
      <w:r w:rsidRPr="00F759B3">
        <w:rPr>
          <w:rFonts w:cs="Times New Roman"/>
        </w:rPr>
        <w:t xml:space="preserve">. Esta carta fue escrita en Roma en los años 80, después del martirio de Pedro. </w:t>
      </w:r>
      <w:r w:rsidRPr="00F759B3">
        <w:rPr>
          <w:rFonts w:cs="Times New Roman"/>
          <w:bCs/>
        </w:rPr>
        <w:t>[…]</w:t>
      </w:r>
      <w:r w:rsidRPr="00F759B3">
        <w:rPr>
          <w:rFonts w:cs="Times New Roman"/>
        </w:rPr>
        <w:t xml:space="preserve"> Se trata, por lo tanto, de una carta de la iglesia de Roma dirigida a los extranjeros migrantes provenientes del Ponto, Galacia, Capadocia, Asia y Bitinia y que ahora viven marginados en Roma</w:t>
      </w:r>
      <w:bookmarkStart w:id="1" w:name="_ftnref10"/>
      <w:r w:rsidRPr="00F759B3">
        <w:rPr>
          <w:rFonts w:cs="Times New Roman"/>
        </w:rPr>
        <w:t xml:space="preserve"> </w:t>
      </w:r>
      <w:bookmarkEnd w:id="1"/>
      <w:r w:rsidRPr="00F759B3">
        <w:rPr>
          <w:rFonts w:cs="Times New Roman"/>
        </w:rPr>
        <w:t>[</w:t>
      </w:r>
      <w:r w:rsidRPr="00F759B3">
        <w:rPr>
          <w:rFonts w:cs="Times New Roman"/>
          <w:i/>
          <w:iCs/>
          <w:smallCaps/>
        </w:rPr>
        <w:t>nota</w:t>
      </w:r>
      <w:r w:rsidRPr="00F759B3">
        <w:rPr>
          <w:rFonts w:cs="Times New Roman"/>
          <w:i/>
          <w:iCs/>
        </w:rPr>
        <w:t xml:space="preserve"> 10:</w:t>
      </w:r>
      <w:r w:rsidRPr="00F759B3">
        <w:rPr>
          <w:rFonts w:cs="Times New Roman"/>
        </w:rPr>
        <w:t xml:space="preserve"> Es como si hoy la Iglesia de San José (Costa Rica) escribiera una carta a todos los migrantes de la diáspora de Nicaragua, El Salvador y Guatemala, que viven en los barrios periféricos pobres de la ciudad de San José]. El autor es un presbítero de Roma (5,1), que escribe a estos migrantes que llegan a Roma y que viven en esta ciudad que se comporta con ellos como una Babilonia. Estos cristianos vivían en Roma como ‘pároikos’, es decir, como migrantes, desarraigados, sin casa, marginados, en la calle (2,11); vivían un tiempo de ‘paroikía’ (1,17): de destierro, alejados de su tierra de origen que estaba en el norte de Asia. </w:t>
      </w:r>
      <w:r w:rsidRPr="00F759B3">
        <w:rPr>
          <w:rFonts w:cs="Times New Roman"/>
          <w:i/>
          <w:iCs/>
        </w:rPr>
        <w:t>A estos migrantes les interesa sobre todo tener una casa y es esto lo que les ofrece el autor de la carta</w:t>
      </w:r>
      <w:bookmarkStart w:id="2" w:name="_ftnref11"/>
      <w:r w:rsidRPr="00F759B3">
        <w:rPr>
          <w:rFonts w:cs="Times New Roman"/>
        </w:rPr>
        <w:t xml:space="preserve"> </w:t>
      </w:r>
      <w:bookmarkEnd w:id="2"/>
      <w:r w:rsidRPr="00F759B3">
        <w:rPr>
          <w:rFonts w:cs="Times New Roman"/>
        </w:rPr>
        <w:t>[</w:t>
      </w:r>
      <w:r w:rsidRPr="00F759B3">
        <w:rPr>
          <w:rFonts w:cs="Times New Roman"/>
          <w:i/>
          <w:iCs/>
          <w:smallCaps/>
        </w:rPr>
        <w:t>nota</w:t>
      </w:r>
      <w:r w:rsidRPr="00F759B3">
        <w:rPr>
          <w:rFonts w:cs="Times New Roman"/>
          <w:i/>
          <w:iCs/>
        </w:rPr>
        <w:t xml:space="preserve"> 11:</w:t>
      </w:r>
      <w:r w:rsidRPr="00F759B3">
        <w:rPr>
          <w:rFonts w:cs="Times New Roman"/>
        </w:rPr>
        <w:t xml:space="preserve"> </w:t>
      </w:r>
      <w:r w:rsidRPr="00F759B3">
        <w:rPr>
          <w:rFonts w:cs="Times New Roman"/>
          <w:i/>
          <w:iCs/>
        </w:rPr>
        <w:t>cf.</w:t>
      </w:r>
      <w:r w:rsidRPr="00F759B3">
        <w:rPr>
          <w:rFonts w:cs="Times New Roman"/>
        </w:rPr>
        <w:t xml:space="preserve"> Eduardo Hoornaert</w:t>
      </w:r>
      <w:r w:rsidRPr="00F759B3">
        <w:rPr>
          <w:rFonts w:cs="Times New Roman"/>
          <w:i/>
          <w:iCs/>
        </w:rPr>
        <w:t>: Cristaos da Terceira Generaçao (100-130).</w:t>
      </w:r>
      <w:r w:rsidRPr="00F759B3">
        <w:rPr>
          <w:rFonts w:cs="Times New Roman"/>
        </w:rPr>
        <w:t> Petrópolis [Vozes], Sao Paulo [Cehila] 1997, p. 40 ss.].</w:t>
      </w:r>
    </w:p>
    <w:p w:rsidR="00534364" w:rsidRPr="00F759B3" w:rsidRDefault="00534364" w:rsidP="00534364">
      <w:pPr>
        <w:spacing w:after="0" w:line="240" w:lineRule="auto"/>
        <w:ind w:left="709"/>
        <w:jc w:val="both"/>
        <w:rPr>
          <w:rFonts w:cs="Times New Roman"/>
        </w:rPr>
      </w:pPr>
      <w:r w:rsidRPr="00F759B3">
        <w:rPr>
          <w:rFonts w:cs="Times New Roman"/>
          <w:bCs/>
        </w:rPr>
        <w:t>[…]</w:t>
      </w:r>
    </w:p>
    <w:p w:rsidR="00534364" w:rsidRPr="00F759B3" w:rsidRDefault="00534364" w:rsidP="00534364">
      <w:pPr>
        <w:spacing w:after="0" w:line="240" w:lineRule="auto"/>
        <w:ind w:left="709"/>
        <w:jc w:val="both"/>
        <w:rPr>
          <w:rFonts w:cs="Times New Roman"/>
        </w:rPr>
      </w:pPr>
      <w:r w:rsidRPr="00F759B3">
        <w:rPr>
          <w:rFonts w:cs="Times New Roman"/>
          <w:i/>
          <w:iCs/>
        </w:rPr>
        <w:t>(año 96)</w:t>
      </w:r>
      <w:r w:rsidRPr="00F759B3">
        <w:rPr>
          <w:rFonts w:cs="Times New Roman"/>
          <w:b/>
          <w:bCs/>
        </w:rPr>
        <w:t xml:space="preserve"> </w:t>
      </w:r>
      <w:r w:rsidRPr="00F759B3">
        <w:rPr>
          <w:rFonts w:cs="Times New Roman"/>
        </w:rPr>
        <w:t xml:space="preserve">La primera carta de </w:t>
      </w:r>
      <w:r w:rsidRPr="00F759B3">
        <w:rPr>
          <w:rFonts w:cs="Times New Roman"/>
          <w:i/>
          <w:iCs/>
        </w:rPr>
        <w:t>Clemente a los Corintios</w:t>
      </w:r>
      <w:r w:rsidRPr="00F759B3">
        <w:rPr>
          <w:rFonts w:cs="Times New Roman"/>
        </w:rPr>
        <w:t xml:space="preserve"> (1 Clem), escrita en Roma, </w:t>
      </w:r>
      <w:r w:rsidRPr="00F759B3">
        <w:rPr>
          <w:rFonts w:cs="Times New Roman"/>
          <w:bCs/>
        </w:rPr>
        <w:t>[…]</w:t>
      </w:r>
      <w:r w:rsidRPr="00F759B3">
        <w:rPr>
          <w:rFonts w:cs="Times New Roman"/>
        </w:rPr>
        <w:t xml:space="preserve"> “reformula la tradición cúltica judía y ofrece una visión romana peculiar del orden eclesial, orientando los modelos jerárquicos cristianos para los siglos venideros”</w:t>
      </w:r>
      <w:bookmarkStart w:id="3" w:name="_ftnref13"/>
      <w:r w:rsidRPr="00F759B3">
        <w:rPr>
          <w:rFonts w:cs="Times New Roman"/>
        </w:rPr>
        <w:t xml:space="preserve"> </w:t>
      </w:r>
      <w:bookmarkEnd w:id="3"/>
      <w:r w:rsidRPr="00F759B3">
        <w:rPr>
          <w:rFonts w:cs="Times New Roman"/>
        </w:rPr>
        <w:t>[</w:t>
      </w:r>
      <w:r w:rsidRPr="00F759B3">
        <w:rPr>
          <w:rFonts w:cs="Times New Roman"/>
          <w:i/>
          <w:iCs/>
          <w:smallCaps/>
        </w:rPr>
        <w:t>nota</w:t>
      </w:r>
      <w:r w:rsidRPr="00F759B3">
        <w:rPr>
          <w:rFonts w:cs="Times New Roman"/>
          <w:i/>
          <w:iCs/>
        </w:rPr>
        <w:t xml:space="preserve"> 13:</w:t>
      </w:r>
      <w:r w:rsidRPr="00F759B3">
        <w:rPr>
          <w:rFonts w:cs="Times New Roman"/>
        </w:rPr>
        <w:t xml:space="preserve"> Brown/Meier </w:t>
      </w:r>
      <w:r w:rsidRPr="00F759B3">
        <w:rPr>
          <w:rFonts w:cs="Times New Roman"/>
          <w:i/>
          <w:iCs/>
        </w:rPr>
        <w:t>op. cit.</w:t>
      </w:r>
      <w:r w:rsidRPr="00F759B3">
        <w:rPr>
          <w:rFonts w:cs="Times New Roman"/>
        </w:rPr>
        <w:t xml:space="preserve"> p. 159. En la presentación crítica de 1 Clem sigo esta obra, especialmente de las pp. 159 a 183]. Realmente esta carta tiene una importancia decisiva en la construcción de la imagen dominante que existe hasta hoy de la iglesia de Roma en los primeros siglos.</w:t>
      </w:r>
    </w:p>
    <w:p w:rsidR="00534364" w:rsidRPr="00F759B3" w:rsidRDefault="00534364" w:rsidP="00534364">
      <w:pPr>
        <w:spacing w:after="0" w:line="240" w:lineRule="auto"/>
        <w:ind w:left="709"/>
        <w:jc w:val="both"/>
        <w:rPr>
          <w:rFonts w:cs="Times New Roman"/>
        </w:rPr>
      </w:pPr>
      <w:r w:rsidRPr="00F759B3">
        <w:rPr>
          <w:rFonts w:cs="Times New Roman"/>
          <w:bCs/>
        </w:rPr>
        <w:t>[…]</w:t>
      </w:r>
    </w:p>
    <w:p w:rsidR="00534364" w:rsidRPr="00F759B3" w:rsidRDefault="00534364" w:rsidP="00534364">
      <w:pPr>
        <w:spacing w:after="120" w:line="240" w:lineRule="auto"/>
        <w:ind w:left="709"/>
        <w:jc w:val="both"/>
        <w:rPr>
          <w:rFonts w:cs="Times New Roman"/>
        </w:rPr>
      </w:pPr>
      <w:r w:rsidRPr="00F759B3">
        <w:rPr>
          <w:rFonts w:cs="Times New Roman"/>
        </w:rPr>
        <w:t>Hoy existe consenso entre los historiadores que Clemente no era de familia noble, sino un liberto cristiano de origen judío. Tiene una educación superior a la media y posiblemente fue liberado por una familia rica, era ciudadano romano y pertenecía a la élite romana. Tito Flavio Clemente y su esposa Flavia Domitila son personajes diferentes, ligados a la casa imperial y cristianos perseguidos por Domiciano. Es posible que Clemente, autor de la carta a los Corintios, tuviera relación con esta familia. La tradición confundió erróneamente Clemente con Tito Flavio Clemente.</w:t>
      </w:r>
    </w:p>
    <w:p w:rsidR="00534364" w:rsidRPr="00F759B3" w:rsidRDefault="00534364" w:rsidP="00534364">
      <w:pPr>
        <w:spacing w:after="0" w:line="240" w:lineRule="auto"/>
        <w:ind w:left="709"/>
        <w:jc w:val="both"/>
        <w:rPr>
          <w:rFonts w:cs="Times New Roman"/>
        </w:rPr>
      </w:pPr>
      <w:r w:rsidRPr="00F759B3">
        <w:rPr>
          <w:rFonts w:cs="Times New Roman"/>
        </w:rPr>
        <w:t>¿Qué función eclesial tenía este liberto cristiano de origen judío llamado Clemente? ¿Con qué autoridad o en nombre de quién escribe la carta a los Corintios? Historiadores y exégetas en la actualidad rechazan con serios argumentos la tesis de que Clemente hubiera sido el 4º Papa después de Pedro, Lino y Anacleto</w:t>
      </w:r>
      <w:bookmarkStart w:id="4" w:name="_ftnref16"/>
      <w:r w:rsidRPr="00F759B3">
        <w:rPr>
          <w:rFonts w:cs="Times New Roman"/>
        </w:rPr>
        <w:t xml:space="preserve"> </w:t>
      </w:r>
      <w:bookmarkEnd w:id="4"/>
      <w:r w:rsidRPr="00F759B3">
        <w:rPr>
          <w:rFonts w:cs="Times New Roman"/>
        </w:rPr>
        <w:t>[</w:t>
      </w:r>
      <w:r w:rsidRPr="00F759B3">
        <w:rPr>
          <w:rFonts w:cs="Times New Roman"/>
          <w:i/>
          <w:iCs/>
          <w:smallCaps/>
        </w:rPr>
        <w:t>nota</w:t>
      </w:r>
      <w:r w:rsidRPr="00F759B3">
        <w:rPr>
          <w:rFonts w:cs="Times New Roman"/>
          <w:i/>
          <w:iCs/>
        </w:rPr>
        <w:t xml:space="preserve"> 16:</w:t>
      </w:r>
      <w:r w:rsidRPr="00F759B3">
        <w:rPr>
          <w:rFonts w:cs="Times New Roman"/>
        </w:rPr>
        <w:t xml:space="preserve"> Así el P. Raymond Brown en: Brown/Meier, </w:t>
      </w:r>
      <w:r w:rsidRPr="00F759B3">
        <w:rPr>
          <w:rFonts w:cs="Times New Roman"/>
          <w:i/>
          <w:iCs/>
        </w:rPr>
        <w:t>op. cit.</w:t>
      </w:r>
      <w:r w:rsidRPr="00F759B3">
        <w:rPr>
          <w:rFonts w:cs="Times New Roman"/>
        </w:rPr>
        <w:t xml:space="preserve"> pag. 162. En nota 345 cita además la obra de Fuellenbach, donde el autor reseña a los investigadores católicos que desde 1930 ya han abandonado la perspectiva de primacía papal otorgada tradicionalmente a 1 Clemente]. Clemente no escribe a los Corintios como obispo de Roma o como Papa. Un signo de ello es que Clemente ni siquiera menciona su nombre en la carta. La articulación de la función petrina original con la estructura papal será producto de varios siglos de evolución. Las listas que poseemos de obispos de Roma (de Irineo, Tertuliano, Epifanio) no representan una sucesión cronológica de obispos. Dice el P. Brown: “Los nombres más antiguos en las listas episcopales romanas probablemente representan a los más famosos presbíteros-obispos de los primeros cien años de cristiandad romana, </w:t>
      </w:r>
      <w:r w:rsidRPr="00F759B3">
        <w:rPr>
          <w:rFonts w:cs="Times New Roman"/>
          <w:i/>
          <w:iCs/>
        </w:rPr>
        <w:t>algunos de ellos funcionando simultáneamente</w:t>
      </w:r>
      <w:bookmarkStart w:id="5" w:name="_ftnref17"/>
      <w:r w:rsidRPr="00F759B3">
        <w:rPr>
          <w:rFonts w:cs="Times New Roman"/>
        </w:rPr>
        <w:t xml:space="preserve">” </w:t>
      </w:r>
      <w:bookmarkEnd w:id="5"/>
      <w:r w:rsidRPr="00F759B3">
        <w:rPr>
          <w:rFonts w:cs="Times New Roman"/>
        </w:rPr>
        <w:t>[</w:t>
      </w:r>
      <w:r w:rsidRPr="00F759B3">
        <w:rPr>
          <w:rFonts w:cs="Times New Roman"/>
          <w:i/>
          <w:iCs/>
          <w:smallCaps/>
        </w:rPr>
        <w:t>nota</w:t>
      </w:r>
      <w:r w:rsidRPr="00F759B3">
        <w:rPr>
          <w:rFonts w:cs="Times New Roman"/>
          <w:i/>
          <w:iCs/>
        </w:rPr>
        <w:t xml:space="preserve"> 17:</w:t>
      </w:r>
      <w:r w:rsidRPr="00F759B3">
        <w:rPr>
          <w:rFonts w:cs="Times New Roman"/>
        </w:rPr>
        <w:t xml:space="preserve"> Brown/Meier, </w:t>
      </w:r>
      <w:r w:rsidRPr="00F759B3">
        <w:rPr>
          <w:rFonts w:cs="Times New Roman"/>
          <w:i/>
          <w:iCs/>
        </w:rPr>
        <w:t>op. cit.</w:t>
      </w:r>
      <w:r w:rsidRPr="00F759B3">
        <w:rPr>
          <w:rFonts w:cs="Times New Roman"/>
        </w:rPr>
        <w:t xml:space="preserve"> p. 164]. En Roma no tenemos una estructura de obispo único (‘a single-bishop structure’) antes de los años 140-150. </w:t>
      </w:r>
      <w:r w:rsidRPr="00F759B3">
        <w:rPr>
          <w:rFonts w:cs="Times New Roman"/>
          <w:i/>
          <w:iCs/>
        </w:rPr>
        <w:t>La estructura original en la iglesia de Roma es más bien la estructura dual de presbítero-obispo por un lado y diácono por otro</w:t>
      </w:r>
      <w:r w:rsidRPr="00F759B3">
        <w:rPr>
          <w:rFonts w:cs="Times New Roman"/>
        </w:rPr>
        <w:t xml:space="preserve">. La estructura de obispo único, con presbíteros y diáconos subordinados, aparece en Antioquía y Asia Menor hacia el año 100 (tal como lo podemos constatar en Ignacio de Antioquía), pero no en Roma. Cuando Ignacio escribe su carta a los romanos no menciona obispo único alguno, </w:t>
      </w:r>
      <w:r w:rsidRPr="00F759B3">
        <w:rPr>
          <w:rFonts w:cs="Times New Roman"/>
          <w:i/>
          <w:iCs/>
        </w:rPr>
        <w:t>posiblemente porque no existe en Roma ningún presbítero-obispo que ejerciera esa función episcopal única sobre todo la Iglesia</w:t>
      </w:r>
      <w:r w:rsidRPr="00F759B3">
        <w:rPr>
          <w:rFonts w:cs="Times New Roman"/>
        </w:rPr>
        <w:t xml:space="preserve">. Esta función tampoco aparece ni en </w:t>
      </w:r>
      <w:r w:rsidRPr="00F759B3">
        <w:rPr>
          <w:rFonts w:cs="Times New Roman"/>
          <w:smallCaps/>
        </w:rPr>
        <w:t>i</w:t>
      </w:r>
      <w:r w:rsidRPr="00F759B3">
        <w:rPr>
          <w:rFonts w:cs="Times New Roman"/>
        </w:rPr>
        <w:t xml:space="preserve"> Pedro ni en el </w:t>
      </w:r>
      <w:r w:rsidRPr="00F759B3">
        <w:rPr>
          <w:rFonts w:cs="Times New Roman"/>
          <w:i/>
          <w:iCs/>
        </w:rPr>
        <w:t>Pastor de Hermas</w:t>
      </w:r>
      <w:r w:rsidRPr="00F759B3">
        <w:rPr>
          <w:rFonts w:cs="Times New Roman"/>
        </w:rPr>
        <w:t xml:space="preserve">. En la misma carta de 1 Clemente, presbíteros y epíscopos (inspectores) son equivalentes (cf. por ej. 42,4; 44,4-5). Las Pastorales y la </w:t>
      </w:r>
      <w:r w:rsidRPr="00F759B3">
        <w:rPr>
          <w:rFonts w:cs="Times New Roman"/>
          <w:i/>
          <w:iCs/>
        </w:rPr>
        <w:t>Didajé</w:t>
      </w:r>
      <w:r w:rsidRPr="00F759B3">
        <w:rPr>
          <w:rFonts w:cs="Times New Roman"/>
        </w:rPr>
        <w:t xml:space="preserve"> también atestiguan el orden doble «presbítero-diácono» (donde presbítero y obispo son intercambiables) como el orden ministerial dominante. Ya el mismo Pablo (en Flp 1,1) se dirigía a los ‘epíscopos y diáconos’. Por lo tanto Clemente no es obispo de Roma ni, mucho menos, Papa, sino </w:t>
      </w:r>
      <w:r w:rsidRPr="00F759B3">
        <w:rPr>
          <w:rFonts w:cs="Times New Roman"/>
          <w:i/>
          <w:iCs/>
        </w:rPr>
        <w:t>uno entre los varios presbíteros-obispos que dirigían simultáneamente las iglesias domésticas de la ciudad de Roma. Probablemente era el presbítero encargado de escribir a otras iglesias, en nombre de todos los presbíteros-epíscopos de Roma</w:t>
      </w:r>
      <w:r w:rsidRPr="00F759B3">
        <w:rPr>
          <w:rFonts w:cs="Times New Roman"/>
        </w:rPr>
        <w:t>. Así lo sugiere Hermas, cuando recibe la orden de sacar dos copias de sus revelaciones: una para Grapta y otra para Clemente. Y agrega: ‘Clemente, por su parte, la remitirá a las ciudades de fuera, pues a él le está encomendado’ (</w:t>
      </w:r>
      <w:r w:rsidRPr="00F759B3">
        <w:rPr>
          <w:rFonts w:cs="Times New Roman"/>
          <w:i/>
          <w:iCs/>
        </w:rPr>
        <w:t>Hermas Vis. 2</w:t>
      </w:r>
      <w:r w:rsidRPr="00F759B3">
        <w:rPr>
          <w:rFonts w:cs="Times New Roman"/>
        </w:rPr>
        <w:t>, 4,2-3).</w:t>
      </w:r>
    </w:p>
    <w:p w:rsidR="00534364" w:rsidRPr="00F759B3" w:rsidRDefault="00534364" w:rsidP="00534364">
      <w:pPr>
        <w:spacing w:after="0" w:line="240" w:lineRule="auto"/>
        <w:ind w:left="709"/>
        <w:jc w:val="both"/>
        <w:rPr>
          <w:rFonts w:cs="Times New Roman"/>
        </w:rPr>
      </w:pPr>
      <w:r w:rsidRPr="00F759B3">
        <w:rPr>
          <w:rFonts w:cs="Times New Roman"/>
          <w:bCs/>
        </w:rPr>
        <w:t>[…]</w:t>
      </w:r>
    </w:p>
    <w:p w:rsidR="00534364" w:rsidRPr="00F759B3" w:rsidRDefault="00534364" w:rsidP="00534364">
      <w:pPr>
        <w:spacing w:after="120" w:line="240" w:lineRule="auto"/>
        <w:ind w:left="709"/>
        <w:jc w:val="both"/>
        <w:rPr>
          <w:rFonts w:cs="Times New Roman"/>
        </w:rPr>
      </w:pPr>
      <w:r w:rsidRPr="00F759B3">
        <w:rPr>
          <w:rFonts w:cs="Times New Roman"/>
        </w:rPr>
        <w:t xml:space="preserve">La tradición teológica dominante en la iglesia de Roma, desde el siglo </w:t>
      </w:r>
      <w:r w:rsidRPr="00F759B3">
        <w:rPr>
          <w:rFonts w:cs="Times New Roman"/>
          <w:smallCaps/>
        </w:rPr>
        <w:t>ii</w:t>
      </w:r>
      <w:r w:rsidRPr="00F759B3">
        <w:rPr>
          <w:rFonts w:cs="Times New Roman"/>
        </w:rPr>
        <w:t xml:space="preserve"> hacia adelante, fue fundamentalmente esta teología de 1era Clemente. </w:t>
      </w:r>
      <w:r w:rsidRPr="00F759B3">
        <w:rPr>
          <w:rFonts w:cs="Times New Roman"/>
          <w:bCs/>
        </w:rPr>
        <w:t>[…]</w:t>
      </w:r>
      <w:r w:rsidRPr="00F759B3">
        <w:rPr>
          <w:rFonts w:cs="Times New Roman"/>
        </w:rPr>
        <w:t xml:space="preserve"> Clemente hace una reflexión </w:t>
      </w:r>
      <w:r w:rsidRPr="00F759B3">
        <w:rPr>
          <w:rFonts w:cs="Times New Roman"/>
          <w:i/>
          <w:iCs/>
        </w:rPr>
        <w:t>política</w:t>
      </w:r>
      <w:r w:rsidRPr="00F759B3">
        <w:rPr>
          <w:rFonts w:cs="Times New Roman"/>
        </w:rPr>
        <w:t> para fundamentar las relaciones de sometimiento en la Iglesia. Dice así: «Consideremos a los que se alistan bajo las banderas de nuestros emperadores. ¡Con qué disciplina, con qué prontitud, con qué sumisión ejecutan cuanto se les ordena! No todos son prefectos, ni todos tribunos ni centuriones ni quincuagenarios y así de los demás grados, sino que cada uno en su propio orden ejecuta lo mandado por el emperador y por los jefes superiores» (37,2-4). Este es el modelo para la Iglesia. La Iglesia debe estar ordenada y disciplinada como lo está el Imperio Romano y su ejército. La obediencia a los que presiden en la Iglesia no es nueva (cf. 1 Ts 5,12-13), lo nuevo aquí en Clemente es que ésta obediencia eclesial debe seguir el modelo de la obediencia civil y militar. Esta teología de Clemente llevará a largo plazo a una identificación de la estructura eclesial con la estructura del estado imperial</w:t>
      </w:r>
      <w:bookmarkStart w:id="6" w:name="_ftnref20"/>
      <w:r w:rsidRPr="00F759B3">
        <w:rPr>
          <w:rFonts w:cs="Times New Roman"/>
        </w:rPr>
        <w:t xml:space="preserve"> </w:t>
      </w:r>
      <w:bookmarkEnd w:id="6"/>
      <w:r w:rsidRPr="00F759B3">
        <w:rPr>
          <w:rFonts w:cs="Times New Roman"/>
        </w:rPr>
        <w:t>[</w:t>
      </w:r>
      <w:r w:rsidRPr="00F759B3">
        <w:rPr>
          <w:rFonts w:cs="Times New Roman"/>
          <w:i/>
          <w:iCs/>
          <w:smallCaps/>
        </w:rPr>
        <w:t>nota</w:t>
      </w:r>
      <w:r w:rsidRPr="00F759B3">
        <w:rPr>
          <w:rFonts w:cs="Times New Roman"/>
          <w:i/>
          <w:iCs/>
        </w:rPr>
        <w:t xml:space="preserve"> 21:</w:t>
      </w:r>
      <w:r w:rsidRPr="00F759B3">
        <w:rPr>
          <w:rFonts w:cs="Times New Roman"/>
        </w:rPr>
        <w:t xml:space="preserve"> “</w:t>
      </w:r>
      <w:r w:rsidRPr="00F759B3">
        <w:rPr>
          <w:rFonts w:cs="Times New Roman"/>
          <w:smallCaps/>
        </w:rPr>
        <w:t>i</w:t>
      </w:r>
      <w:r w:rsidRPr="00F759B3">
        <w:rPr>
          <w:rFonts w:cs="Times New Roman"/>
        </w:rPr>
        <w:t xml:space="preserve"> Clemente ha generalizado una práctica apostólica que fue ocasional, pero no consistente y universal”. P. Brown, 175].</w:t>
      </w:r>
    </w:p>
    <w:p w:rsidR="00534364" w:rsidRPr="00F759B3" w:rsidRDefault="00534364" w:rsidP="00534364">
      <w:pPr>
        <w:spacing w:after="0" w:line="240" w:lineRule="auto"/>
        <w:ind w:left="709"/>
        <w:jc w:val="both"/>
        <w:rPr>
          <w:rFonts w:cs="Times New Roman"/>
          <w:i/>
          <w:iCs/>
        </w:rPr>
      </w:pPr>
      <w:r w:rsidRPr="00F759B3">
        <w:rPr>
          <w:rFonts w:cs="Times New Roman"/>
          <w:i/>
          <w:iCs/>
        </w:rPr>
        <w:t>La estructura eclesial en 1 Clemente</w:t>
      </w:r>
    </w:p>
    <w:p w:rsidR="00534364" w:rsidRPr="00F759B3" w:rsidRDefault="00534364" w:rsidP="00534364">
      <w:pPr>
        <w:spacing w:after="120" w:line="240" w:lineRule="auto"/>
        <w:ind w:left="709"/>
        <w:jc w:val="both"/>
        <w:rPr>
          <w:rFonts w:cs="Times New Roman"/>
        </w:rPr>
      </w:pPr>
      <w:r w:rsidRPr="00F759B3">
        <w:rPr>
          <w:rFonts w:cs="Times New Roman"/>
        </w:rPr>
        <w:t>Clemente insiste en la sucesión apostólica de los presbíteros (</w:t>
      </w:r>
      <w:r w:rsidRPr="00F759B3">
        <w:rPr>
          <w:rFonts w:cs="Times New Roman"/>
          <w:i/>
          <w:iCs/>
        </w:rPr>
        <w:t>epíscopos</w:t>
      </w:r>
      <w:r w:rsidRPr="00F759B3">
        <w:rPr>
          <w:rFonts w:cs="Times New Roman"/>
        </w:rPr>
        <w:t xml:space="preserve"> y diáconos). Son los apóstoles los que han designado a todos los presbíteros como sus sucesores. Dios envió a Jesús, Jesús a los Apóstoles y éstos a los presbíteros (sean estos presbíteros </w:t>
      </w:r>
      <w:r w:rsidRPr="00F759B3">
        <w:rPr>
          <w:rFonts w:cs="Times New Roman"/>
          <w:i/>
          <w:iCs/>
        </w:rPr>
        <w:t>epíscopos</w:t>
      </w:r>
      <w:r w:rsidRPr="00F759B3">
        <w:rPr>
          <w:rFonts w:cs="Times New Roman"/>
        </w:rPr>
        <w:t xml:space="preserve"> o diáconos) (42). También dice: «nuestros apóstoles… impusieron para adelante la norma de que, en muriendo éstos, otros que fueran varones aprobados les sucedieran en el ministerio (</w:t>
      </w:r>
      <w:r w:rsidRPr="00F759B3">
        <w:rPr>
          <w:rFonts w:cs="Times New Roman"/>
          <w:i/>
          <w:iCs/>
        </w:rPr>
        <w:t>leitourgía</w:t>
      </w:r>
      <w:r w:rsidRPr="00F759B3">
        <w:rPr>
          <w:rFonts w:cs="Times New Roman"/>
        </w:rPr>
        <w:t xml:space="preserve">). Ahora, pues, a hombres establecidos por los apóstoles, o posteriormente por otros eximios varones con consentimiento de la Iglesia entera… no creemos que se los pueda expulsar justamente de su ministerio» (44,1-3). La designación de presbíteros está ciertamente atestiguada en el </w:t>
      </w:r>
      <w:r w:rsidRPr="00F759B3">
        <w:rPr>
          <w:rFonts w:cs="Times New Roman"/>
          <w:smallCaps/>
        </w:rPr>
        <w:t>nt</w:t>
      </w:r>
      <w:r w:rsidRPr="00F759B3">
        <w:rPr>
          <w:rFonts w:cs="Times New Roman"/>
        </w:rPr>
        <w:t xml:space="preserve"> (Hch 14,23; Tt 1,5), pero ésta no aparece tan consistente y universal como lo presenta Clemente, sino más bien en forma variada y ocasional</w:t>
      </w:r>
      <w:bookmarkStart w:id="7" w:name="_ftnref21"/>
      <w:bookmarkEnd w:id="7"/>
      <w:r w:rsidRPr="00F759B3">
        <w:rPr>
          <w:rFonts w:cs="Times New Roman"/>
        </w:rPr>
        <w:t xml:space="preserve">. Clemente además universaliza y absolutiza la sucesión apostólica </w:t>
      </w:r>
      <w:r w:rsidRPr="00F759B3">
        <w:rPr>
          <w:rFonts w:cs="Times New Roman"/>
          <w:i/>
          <w:iCs/>
        </w:rPr>
        <w:t>para fortalecer la sumisión del pueblo a los presbíteros</w:t>
      </w:r>
      <w:r w:rsidRPr="00F759B3">
        <w:rPr>
          <w:rFonts w:cs="Times New Roman"/>
        </w:rPr>
        <w:t xml:space="preserve"> y para ello utiliza dos modelos autoritarios: el orden del sacerdocio levítico de Jerusalén y el orden político y militar del Imperio. Además del carácter autoritario que da Clemente a la sucesión apostólica, utiliza un lenguaje conscientemente patriarcal: siempre usa para los presbíteros la palabra ‘varón’ (</w:t>
      </w:r>
      <w:r w:rsidRPr="00F759B3">
        <w:rPr>
          <w:rFonts w:cs="Times New Roman"/>
          <w:i/>
          <w:iCs/>
        </w:rPr>
        <w:t>aner</w:t>
      </w:r>
      <w:r w:rsidRPr="00F759B3">
        <w:rPr>
          <w:rFonts w:cs="Times New Roman"/>
        </w:rPr>
        <w:t>), y no el término inclusivo ‘persona’ (</w:t>
      </w:r>
      <w:r w:rsidRPr="00F759B3">
        <w:rPr>
          <w:rFonts w:cs="Times New Roman"/>
          <w:i/>
          <w:iCs/>
        </w:rPr>
        <w:t>anthropos</w:t>
      </w:r>
      <w:r w:rsidRPr="00F759B3">
        <w:rPr>
          <w:rFonts w:cs="Times New Roman"/>
        </w:rPr>
        <w:t>).</w:t>
      </w:r>
    </w:p>
    <w:p w:rsidR="00534364" w:rsidRPr="00F759B3" w:rsidRDefault="00534364" w:rsidP="00534364">
      <w:pPr>
        <w:spacing w:after="120" w:line="240" w:lineRule="auto"/>
        <w:ind w:left="709"/>
        <w:jc w:val="both"/>
        <w:rPr>
          <w:rFonts w:cs="Times New Roman"/>
        </w:rPr>
      </w:pPr>
      <w:r w:rsidRPr="00F759B3">
        <w:rPr>
          <w:rFonts w:cs="Times New Roman"/>
        </w:rPr>
        <w:t>Clemente utiliza la sucesión apostólica para darle</w:t>
      </w:r>
      <w:r w:rsidRPr="00F759B3">
        <w:rPr>
          <w:rFonts w:cs="Times New Roman"/>
          <w:i/>
          <w:iCs/>
        </w:rPr>
        <w:t> fuerza espiritual</w:t>
      </w:r>
      <w:r w:rsidRPr="00F759B3">
        <w:rPr>
          <w:rFonts w:cs="Times New Roman"/>
        </w:rPr>
        <w:t xml:space="preserve"> a su admonición a los disidentes de Corinto. Dice así: «si algunos desobedecieren a las amonestaciones que por nuestro medio Dios mismo os ha dirigido, sepan que se harán reos de no pequeño pecado y se exponen a grave peligro» (59,1). Y también: «os acabamos de escribir impulsados por el Espíritu Santo» (63,2). En esto Clemente sigue el estilo de la conducción apostólica de Jerusalén: «ha parecido bien al Espíritu Santo y a nosotros» (Hch 15,28). Dijimos que la iglesia de Roma fue, posiblemente, fundada por la iglesia de Jerusalén. Y al desaparecer la iglesia de Jerusalén </w:t>
      </w:r>
      <w:r w:rsidRPr="00F759B3">
        <w:rPr>
          <w:rFonts w:cs="Times New Roman"/>
          <w:lang w:val="es-ES_tradnl"/>
        </w:rPr>
        <w:t>–</w:t>
      </w:r>
      <w:r w:rsidRPr="00F759B3">
        <w:rPr>
          <w:rFonts w:cs="Times New Roman"/>
        </w:rPr>
        <w:t>ha desaparecido</w:t>
      </w:r>
      <w:r w:rsidRPr="00F759B3">
        <w:rPr>
          <w:rFonts w:cs="Times New Roman"/>
          <w:lang w:val="es-ES_tradnl"/>
        </w:rPr>
        <w:t>–</w:t>
      </w:r>
      <w:r w:rsidRPr="00F759B3">
        <w:rPr>
          <w:rFonts w:cs="Times New Roman"/>
        </w:rPr>
        <w:t xml:space="preserve"> la iglesia de Roma, legitimada por el martirio de Pedro y Pablo, toma el liderazgo de aquella. Por eso escribe a los Corintios con el mismo estilo de los líderes apostólicos de Jerusalén: Pedro y Pablo, Santiago y los Presbíteros de Jerusalén. Clemente escribe con plena conciencia de estar en la sucesión apostólica y con la fuerza que le da esa sucesión apostólica, pero le da tal centralidad a la sucesión apostólica y un tal carácter absoluto, universal, autoritario y patriarcal, que termina transformando la sucesión apostólica en su contrario. Ya no se trata de una tradición apostólica, espiritual y doctrinal, sino de </w:t>
      </w:r>
      <w:r w:rsidRPr="00F759B3">
        <w:rPr>
          <w:rFonts w:cs="Times New Roman"/>
          <w:i/>
          <w:iCs/>
        </w:rPr>
        <w:t>una sucesión política de poder</w:t>
      </w:r>
      <w:r w:rsidRPr="00F759B3">
        <w:rPr>
          <w:rFonts w:cs="Times New Roman"/>
        </w:rPr>
        <w:t xml:space="preserve">. Clemente tendrá desgraciadamente un influjo decisivo en la iglesia de Roma, desde el siglo </w:t>
      </w:r>
      <w:r w:rsidRPr="00F759B3">
        <w:rPr>
          <w:rFonts w:cs="Times New Roman"/>
          <w:smallCaps/>
        </w:rPr>
        <w:t>ii</w:t>
      </w:r>
      <w:r w:rsidRPr="00F759B3">
        <w:rPr>
          <w:rFonts w:cs="Times New Roman"/>
        </w:rPr>
        <w:t xml:space="preserve"> hacia adelante. 1 Clemente terminó sustituyendo la tradición de Pablo y </w:t>
      </w:r>
      <w:r w:rsidRPr="00F759B3">
        <w:rPr>
          <w:rFonts w:cs="Times New Roman"/>
          <w:i/>
          <w:iCs/>
        </w:rPr>
        <w:t>Hechos de los Apóstoles</w:t>
      </w:r>
      <w:r w:rsidRPr="00F759B3">
        <w:rPr>
          <w:rFonts w:cs="Times New Roman"/>
        </w:rPr>
        <w:t>.</w:t>
      </w:r>
    </w:p>
    <w:p w:rsidR="00534364" w:rsidRPr="00F759B3" w:rsidRDefault="00534364" w:rsidP="00534364">
      <w:pPr>
        <w:spacing w:after="0" w:line="240" w:lineRule="auto"/>
        <w:ind w:left="709"/>
        <w:jc w:val="both"/>
        <w:rPr>
          <w:rFonts w:cs="Times New Roman"/>
        </w:rPr>
      </w:pPr>
      <w:r w:rsidRPr="00F759B3">
        <w:rPr>
          <w:rFonts w:cs="Times New Roman"/>
        </w:rPr>
        <w:t xml:space="preserve">El problema en 1era Clemente no es la sucesión apostólica en sí misma (que también yo acepto íntegramente), sino el uso que hizo de ella para legitimar un ordenamiento absoluto y autoritario en la iglesia. Habría que agregar que el problema mayor no es la carta misma de Clemente, sino el uso que posteriormente se ha hecho de ella para justificar posiciones aún más autoritarias y patriarcales en siglos posteriores. Los comentaristas clásicos de 1era Clemente han hecho de Clemente un ‘mito romano’, para justificar posiciones dogmáticas que contradicen claramente la realidad histórica de la iglesia de Roma en los dos primeros siglos. Pablo combatió en 1 Co 12-14 el carismatismo exaltado de algunos corintios para asegurar la primacía del carisma de la caridad y el ordenamiento necesario de todos los carismas en función de la edificación de la Iglesia. Clemente, 45 años después, </w:t>
      </w:r>
      <w:r w:rsidRPr="00F759B3">
        <w:rPr>
          <w:rFonts w:cs="Times New Roman"/>
          <w:i/>
          <w:iCs/>
        </w:rPr>
        <w:t>defiende la primacía del poder de los presbíteros</w:t>
      </w:r>
      <w:r w:rsidRPr="00F759B3">
        <w:rPr>
          <w:rFonts w:cs="Times New Roman"/>
        </w:rPr>
        <w:t xml:space="preserve"> en Corinto en la edificación de la Iglesia. Clemente se constituye así en el inicio de un proceso de abandono de la tradición genuinamente apostólica y de abandono de la dimensión auténticamente espiritual y carismática de la Iglesia. Clemente representa el comienzo de una adaptación progresiva de la iglesia de Roma a las estructuras políticas del Imperio. La orientación de la iglesia post-apostólica hacia Roma (como capital política del Imperio), y no hacia Atenas (como museo de la antigüedad clásica) o hacia Alejandría (como biblioteca de la sabiduría clásica), demuestra la primacía de lo político sobre la tradición y la cultura en la institucionalización de la iglesia católica. No se trata de oponer Carisma a Institución (Pablo de Tarso a Clemente de Roma), sino de descubrir en los orígenes de la Iglesia en Roma, en particular en 1 Clemente, el inicio de un proceso de utilización del poder político en función de la sobrevivencia de la Iglesia, que culminará trágicamente en el siglo </w:t>
      </w:r>
      <w:r w:rsidRPr="00F759B3">
        <w:rPr>
          <w:rFonts w:cs="Times New Roman"/>
          <w:smallCaps/>
        </w:rPr>
        <w:t>iv</w:t>
      </w:r>
      <w:r w:rsidRPr="00F759B3">
        <w:rPr>
          <w:rFonts w:cs="Times New Roman"/>
        </w:rPr>
        <w:t xml:space="preserve"> con Constantino y Eusebio de Cesarea. Sin embargo, no debemos interpretar todos los orígenes de la iglesia romana únicamente desde el ‘mito romano de Clemente’. Existen muchos otros testimonios que es necesario rescatar y es lo que veremos a continuación.</w:t>
      </w:r>
    </w:p>
    <w:p w:rsidR="00534364" w:rsidRPr="00F759B3" w:rsidRDefault="00534364" w:rsidP="00534364">
      <w:pPr>
        <w:spacing w:after="0" w:line="240" w:lineRule="auto"/>
        <w:ind w:left="709"/>
        <w:jc w:val="both"/>
        <w:rPr>
          <w:rFonts w:cs="Times New Roman"/>
        </w:rPr>
      </w:pPr>
      <w:r w:rsidRPr="00F759B3">
        <w:rPr>
          <w:rFonts w:cs="Times New Roman"/>
          <w:bCs/>
        </w:rPr>
        <w:t>[…]</w:t>
      </w:r>
    </w:p>
    <w:p w:rsidR="00534364" w:rsidRPr="00F759B3" w:rsidRDefault="00534364" w:rsidP="00534364">
      <w:pPr>
        <w:spacing w:after="120" w:line="240" w:lineRule="auto"/>
        <w:ind w:left="709"/>
        <w:jc w:val="both"/>
        <w:rPr>
          <w:rFonts w:cs="Times New Roman"/>
        </w:rPr>
      </w:pPr>
      <w:r w:rsidRPr="00F759B3">
        <w:rPr>
          <w:rFonts w:cs="Times New Roman"/>
        </w:rPr>
        <w:t xml:space="preserve">El </w:t>
      </w:r>
      <w:r w:rsidRPr="00F759B3">
        <w:rPr>
          <w:rFonts w:cs="Times New Roman"/>
          <w:i/>
          <w:iCs/>
        </w:rPr>
        <w:t>Pastor de Hermas</w:t>
      </w:r>
      <w:r w:rsidRPr="00F759B3">
        <w:rPr>
          <w:rFonts w:cs="Times New Roman"/>
        </w:rPr>
        <w:t xml:space="preserve"> fue compuesto entre los años 90-135 d.C. </w:t>
      </w:r>
      <w:r w:rsidRPr="00F759B3">
        <w:rPr>
          <w:rFonts w:cs="Times New Roman"/>
          <w:bCs/>
        </w:rPr>
        <w:t>[…]</w:t>
      </w:r>
      <w:r w:rsidRPr="00F759B3">
        <w:rPr>
          <w:rFonts w:cs="Times New Roman"/>
        </w:rPr>
        <w:t xml:space="preserve"> El contexto social del </w:t>
      </w:r>
      <w:r w:rsidRPr="00F759B3">
        <w:rPr>
          <w:rFonts w:cs="Times New Roman"/>
          <w:i/>
          <w:iCs/>
        </w:rPr>
        <w:t>Pastor de Hermas</w:t>
      </w:r>
      <w:r w:rsidRPr="00F759B3">
        <w:rPr>
          <w:rFonts w:cs="Times New Roman"/>
        </w:rPr>
        <w:t xml:space="preserve"> es claramente esa mayoría de la comunidad cristiana de Roma, donde casi todos son judíos conversos pobres y sin ciudadanía romana</w:t>
      </w:r>
      <w:bookmarkStart w:id="8" w:name="_ftnref24"/>
      <w:r w:rsidRPr="00F759B3">
        <w:rPr>
          <w:rFonts w:cs="Times New Roman"/>
        </w:rPr>
        <w:t xml:space="preserve"> </w:t>
      </w:r>
      <w:bookmarkEnd w:id="8"/>
      <w:r w:rsidRPr="00F759B3">
        <w:rPr>
          <w:rFonts w:cs="Times New Roman"/>
        </w:rPr>
        <w:t>[</w:t>
      </w:r>
      <w:r w:rsidRPr="00F759B3">
        <w:rPr>
          <w:rFonts w:cs="Times New Roman"/>
          <w:i/>
          <w:iCs/>
          <w:smallCaps/>
        </w:rPr>
        <w:t>nota</w:t>
      </w:r>
      <w:r w:rsidRPr="00F759B3">
        <w:rPr>
          <w:rFonts w:cs="Times New Roman"/>
          <w:i/>
          <w:iCs/>
        </w:rPr>
        <w:t xml:space="preserve"> 24:</w:t>
      </w:r>
      <w:r w:rsidRPr="00F759B3">
        <w:rPr>
          <w:rFonts w:cs="Times New Roman"/>
        </w:rPr>
        <w:t xml:space="preserve"> Para lo que sigue: James S. Jeffers</w:t>
      </w:r>
      <w:r w:rsidRPr="00F759B3">
        <w:rPr>
          <w:rFonts w:cs="Times New Roman"/>
          <w:i/>
          <w:iCs/>
        </w:rPr>
        <w:t xml:space="preserve">: Conflict at Rome. </w:t>
      </w:r>
      <w:r w:rsidRPr="00F759B3">
        <w:rPr>
          <w:rFonts w:cs="Times New Roman"/>
          <w:i/>
          <w:iCs/>
          <w:lang w:val="en-US"/>
        </w:rPr>
        <w:t>Social Order and Hierarchy in Early Christianity.</w:t>
      </w:r>
      <w:r w:rsidRPr="00F759B3">
        <w:rPr>
          <w:rFonts w:cs="Times New Roman"/>
          <w:lang w:val="en-US"/>
        </w:rPr>
        <w:t> </w:t>
      </w:r>
      <w:proofErr w:type="gramStart"/>
      <w:r w:rsidRPr="00F759B3">
        <w:rPr>
          <w:rFonts w:cs="Times New Roman"/>
          <w:lang w:val="en-US"/>
        </w:rPr>
        <w:t>Minneapolis (Fortress Press) 1991, 215 pp.].</w:t>
      </w:r>
      <w:proofErr w:type="gramEnd"/>
      <w:r w:rsidRPr="00F759B3">
        <w:rPr>
          <w:rFonts w:cs="Times New Roman"/>
          <w:lang w:val="en-US"/>
        </w:rPr>
        <w:t xml:space="preserve"> </w:t>
      </w:r>
      <w:r w:rsidRPr="00F759B3">
        <w:rPr>
          <w:rFonts w:cs="Times New Roman"/>
        </w:rPr>
        <w:t xml:space="preserve">Muchos son esclavos, aunque también hay libertos (esclavos liberados). Una minoría de estos libertos era de la casa del César o de familias ricas, pero la mayoría de los libertos eran pobres, sin ciudadanía romana y de mínima educación. La mayoría de la comunidad eran también extranjeros, de origen griego, del oriente helenizado, </w:t>
      </w:r>
      <w:r w:rsidRPr="00F759B3">
        <w:rPr>
          <w:rFonts w:cs="Times New Roman"/>
          <w:i/>
          <w:iCs/>
        </w:rPr>
        <w:t>no pertenecientes a la élite latina de Roma</w:t>
      </w:r>
      <w:r w:rsidRPr="00F759B3">
        <w:rPr>
          <w:rFonts w:cs="Times New Roman"/>
        </w:rPr>
        <w:t xml:space="preserve">. La persecución de Nerón (35 años antes) prueba que los cristianos en Roma eran muchos y visibles (identificables y diferenciados de la comunidad judía). La persecución fue posible justamente por ser los cristianos en su mayoría extranjeros, sin ciudadanía romana, esclavos y pobres. </w:t>
      </w:r>
      <w:r w:rsidRPr="00F759B3">
        <w:rPr>
          <w:rFonts w:cs="Times New Roman"/>
          <w:i/>
          <w:iCs/>
        </w:rPr>
        <w:t>Los cristianos vivían en los barrios más insalubres, populosos y miserables de la ciudad, entre otros sitios en el distrito del Trastévere y en la vía Apia</w:t>
      </w:r>
      <w:bookmarkStart w:id="9" w:name="_ftnref25"/>
      <w:r w:rsidRPr="00F759B3">
        <w:rPr>
          <w:rFonts w:cs="Times New Roman"/>
        </w:rPr>
        <w:t xml:space="preserve"> </w:t>
      </w:r>
      <w:bookmarkEnd w:id="9"/>
      <w:r w:rsidRPr="00F759B3">
        <w:rPr>
          <w:rFonts w:cs="Times New Roman"/>
        </w:rPr>
        <w:t>[</w:t>
      </w:r>
      <w:r w:rsidRPr="00F759B3">
        <w:rPr>
          <w:rFonts w:cs="Times New Roman"/>
          <w:i/>
          <w:iCs/>
          <w:smallCaps/>
        </w:rPr>
        <w:t>nota</w:t>
      </w:r>
      <w:r w:rsidRPr="00F759B3">
        <w:rPr>
          <w:rFonts w:cs="Times New Roman"/>
          <w:i/>
          <w:iCs/>
        </w:rPr>
        <w:t xml:space="preserve"> 25:</w:t>
      </w:r>
      <w:r w:rsidRPr="00F759B3">
        <w:rPr>
          <w:rFonts w:cs="Times New Roman"/>
        </w:rPr>
        <w:t xml:space="preserve"> </w:t>
      </w:r>
      <w:r w:rsidRPr="00F759B3">
        <w:rPr>
          <w:rFonts w:cs="Times New Roman"/>
          <w:i/>
          <w:iCs/>
        </w:rPr>
        <w:t>cf.</w:t>
      </w:r>
      <w:r w:rsidRPr="00F759B3">
        <w:rPr>
          <w:rFonts w:cs="Times New Roman"/>
        </w:rPr>
        <w:t xml:space="preserve"> Peter Lampe: </w:t>
      </w:r>
      <w:r w:rsidRPr="00F759B3">
        <w:rPr>
          <w:rFonts w:cs="Times New Roman"/>
          <w:i/>
          <w:iCs/>
        </w:rPr>
        <w:t>Die stadtrömischen Christen in den ersten beiden</w:t>
      </w:r>
      <w:r w:rsidRPr="00F759B3">
        <w:rPr>
          <w:rFonts w:cs="Times New Roman"/>
          <w:u w:val="single"/>
        </w:rPr>
        <w:t> </w:t>
      </w:r>
      <w:r w:rsidRPr="00F759B3">
        <w:rPr>
          <w:rFonts w:cs="Times New Roman"/>
          <w:i/>
          <w:iCs/>
        </w:rPr>
        <w:t>Jahrhunderten,</w:t>
      </w:r>
      <w:r w:rsidRPr="00F759B3">
        <w:rPr>
          <w:rFonts w:cs="Times New Roman"/>
        </w:rPr>
        <w:t> Tübingen (Mohr-Siebeck) 1987. Citado por Elsa Tamez: </w:t>
      </w:r>
      <w:r w:rsidRPr="00F759B3">
        <w:rPr>
          <w:rFonts w:cs="Times New Roman"/>
          <w:i/>
          <w:iCs/>
        </w:rPr>
        <w:t>Contra toda condena</w:t>
      </w:r>
      <w:r w:rsidRPr="00F759B3">
        <w:rPr>
          <w:rFonts w:cs="Times New Roman"/>
        </w:rPr>
        <w:t xml:space="preserve"> (</w:t>
      </w:r>
      <w:r w:rsidRPr="00F759B3">
        <w:rPr>
          <w:rFonts w:cs="Times New Roman"/>
          <w:smallCaps/>
        </w:rPr>
        <w:t>dei</w:t>
      </w:r>
      <w:r w:rsidRPr="00F759B3">
        <w:rPr>
          <w:rFonts w:cs="Times New Roman"/>
        </w:rPr>
        <w:t xml:space="preserve">) 91, seg. ed. p. 109]. Hermas, autor del </w:t>
      </w:r>
      <w:r w:rsidRPr="00F759B3">
        <w:rPr>
          <w:rFonts w:cs="Times New Roman"/>
          <w:i/>
          <w:iCs/>
        </w:rPr>
        <w:t>Pastor de Hermas</w:t>
      </w:r>
      <w:r w:rsidRPr="00F759B3">
        <w:rPr>
          <w:rFonts w:cs="Times New Roman"/>
        </w:rPr>
        <w:t xml:space="preserve">, es un cristiano típico de la comunidad romana: es pobre, esclavo liberado, trabaja como campesino y tiene una educación rudimentaria. Clemente, autor de la carta de los Corintios y contemporáneo de Hermas, es una excepción en esta comunidad romana: es un esclavo liberto, perteneciente a una familia imperial, con una educación superior y ciertamente ciudadano romano. </w:t>
      </w:r>
      <w:r w:rsidRPr="00F759B3">
        <w:rPr>
          <w:rFonts w:cs="Times New Roman"/>
          <w:i/>
          <w:iCs/>
        </w:rPr>
        <w:t>Pertenece a una élite que para nada es representativa de la mayoría de la iglesia de Roma</w:t>
      </w:r>
      <w:bookmarkStart w:id="10" w:name="_ftnref26"/>
      <w:r w:rsidRPr="00F759B3">
        <w:rPr>
          <w:rFonts w:cs="Times New Roman"/>
        </w:rPr>
        <w:t> </w:t>
      </w:r>
      <w:bookmarkEnd w:id="10"/>
      <w:r w:rsidRPr="00F759B3">
        <w:rPr>
          <w:rFonts w:cs="Times New Roman"/>
        </w:rPr>
        <w:t>[</w:t>
      </w:r>
      <w:r w:rsidRPr="00F759B3">
        <w:rPr>
          <w:rFonts w:cs="Times New Roman"/>
          <w:i/>
          <w:iCs/>
          <w:smallCaps/>
        </w:rPr>
        <w:t>nota</w:t>
      </w:r>
      <w:r w:rsidRPr="00F759B3">
        <w:rPr>
          <w:rFonts w:cs="Times New Roman"/>
          <w:i/>
          <w:iCs/>
        </w:rPr>
        <w:t xml:space="preserve"> 26:</w:t>
      </w:r>
      <w:r w:rsidRPr="00F759B3">
        <w:rPr>
          <w:rFonts w:cs="Times New Roman"/>
        </w:rPr>
        <w:t xml:space="preserve"> </w:t>
      </w:r>
      <w:r w:rsidRPr="00F759B3">
        <w:rPr>
          <w:rFonts w:cs="Times New Roman"/>
          <w:i/>
          <w:iCs/>
        </w:rPr>
        <w:t>cf.</w:t>
      </w:r>
      <w:r w:rsidRPr="00F759B3">
        <w:rPr>
          <w:rFonts w:cs="Times New Roman"/>
        </w:rPr>
        <w:t xml:space="preserve"> Jeffers, </w:t>
      </w:r>
      <w:r w:rsidRPr="00F759B3">
        <w:rPr>
          <w:rFonts w:cs="Times New Roman"/>
          <w:i/>
          <w:iCs/>
        </w:rPr>
        <w:t>op. cit.</w:t>
      </w:r>
      <w:r w:rsidRPr="00F759B3">
        <w:rPr>
          <w:rFonts w:cs="Times New Roman"/>
        </w:rPr>
        <w:t xml:space="preserve"> cap. 1º, pp. 3-35]. Los cristianos de Roma (en su mayoría pobres, esclavos, judíos conversos y extranjeros) se reunían en la sinagoga o en las asociaciones (‘collegia’). Había asociaciones profesionales, religiosas, funerarias y domésticas. Las más usadas eran las asociaciones funerarias, que daban cobertura legal a las iglesias domésticas. Clemente romano utilizó la casa de su patrón Flavio Clemente y Domitila </w:t>
      </w:r>
      <w:r w:rsidRPr="00F759B3">
        <w:rPr>
          <w:rFonts w:cs="Times New Roman"/>
          <w:i/>
          <w:iCs/>
        </w:rPr>
        <w:t>para la reunión de la iglesia doméstica a la cual pertenecía</w:t>
      </w:r>
      <w:r w:rsidRPr="00F759B3">
        <w:rPr>
          <w:rFonts w:cs="Times New Roman"/>
        </w:rPr>
        <w:t xml:space="preserve">. Flavio Clemente poseía además una asociación funeraria, con su catacumba (cementerio bajo tierra), lo que facilitaba las reuniones más numerosas de la comunidad. Así se utilizaban casas y edificios públicos y legales para la gran congregación eclesial en ocasiones solemnes, </w:t>
      </w:r>
      <w:r w:rsidRPr="00F759B3">
        <w:rPr>
          <w:rFonts w:cs="Times New Roman"/>
          <w:i/>
          <w:iCs/>
        </w:rPr>
        <w:t>pero la inmensa mayoría de los cristianos se reunían en forma cotidiana en pequeñas comunidades domésticas dispersas, pobres y marginales</w:t>
      </w:r>
      <w:r w:rsidRPr="00F759B3">
        <w:rPr>
          <w:rFonts w:cs="Times New Roman"/>
        </w:rPr>
        <w:t>.</w:t>
      </w:r>
    </w:p>
    <w:p w:rsidR="00534364" w:rsidRPr="00F759B3" w:rsidRDefault="00534364" w:rsidP="00534364">
      <w:pPr>
        <w:spacing w:after="120" w:line="240" w:lineRule="auto"/>
        <w:ind w:left="709"/>
        <w:jc w:val="both"/>
        <w:rPr>
          <w:rFonts w:cs="Times New Roman"/>
        </w:rPr>
      </w:pPr>
      <w:r w:rsidRPr="00F759B3">
        <w:rPr>
          <w:rFonts w:cs="Times New Roman"/>
        </w:rPr>
        <w:t xml:space="preserve">Si comparamos el </w:t>
      </w:r>
      <w:r w:rsidRPr="00F759B3">
        <w:rPr>
          <w:rFonts w:cs="Times New Roman"/>
          <w:i/>
          <w:iCs/>
        </w:rPr>
        <w:t>Pastor de Hermas</w:t>
      </w:r>
      <w:r w:rsidRPr="00F759B3">
        <w:rPr>
          <w:rFonts w:cs="Times New Roman"/>
        </w:rPr>
        <w:t xml:space="preserve"> con Clemente descubrimos dos mundos totalmente diferentes y contrapuestos. Clemente participa de la manera de pensar de la aristocracia romana, Hermas escribe desde la perspectiva de los esclavos y de los pobres de Roma. Clemente piensa con las categorías del sistema del Patronato: los ricos y poderosos son estimados y honrados por la protección que ejercen sobre sus clientes, los libertos y pobres. Todo el mundo busca para vivir y surgir un patrón, un padrino, un protector. Cada cual es cliente de un patrón y a la vez patrón de un cliente inferior. El favoritismo social estructura toda la pirámide social. Clemente proyecta en la iglesia la relación patrón-cliente. El cristiano poderoso y rico debe ayudar al cristiano pobre y débil cuando está en una situación difícil; el rico es necesario pues es el que más ofrece a la comunidad. La misma familia está estructurada por el sistema patrón-cliente. El </w:t>
      </w:r>
      <w:r w:rsidRPr="00F759B3">
        <w:rPr>
          <w:rFonts w:cs="Times New Roman"/>
          <w:i/>
          <w:iCs/>
        </w:rPr>
        <w:t>Pater Familias</w:t>
      </w:r>
      <w:r w:rsidRPr="00F759B3">
        <w:rPr>
          <w:rFonts w:cs="Times New Roman"/>
        </w:rPr>
        <w:t xml:space="preserve"> es Patrón en su casa y propietario de su mujer, hijos y esclavos. Clemente piensa a la iglesia como casa patronal, donde el presbítero funge como </w:t>
      </w:r>
      <w:r w:rsidRPr="00F759B3">
        <w:rPr>
          <w:rFonts w:cs="Times New Roman"/>
          <w:i/>
          <w:iCs/>
        </w:rPr>
        <w:t>Pater Familias</w:t>
      </w:r>
      <w:r w:rsidRPr="00F759B3">
        <w:rPr>
          <w:rFonts w:cs="Times New Roman"/>
        </w:rPr>
        <w:t xml:space="preserve">. Hermas invierte totalmente este sistema de patronato cuando valoriza la riqueza espiritual del pobre; es el pobre el que enriquece a la comunidad. El rico es pobre ante Dios y necesita del pobre real para su salvación. Hermas sustituye el favoritismo y clientelismo por la solidaridad cristiana. La cultura dominante romana desconoce la solidaridad como una nueva forma de vivir, especialmente entre los pobres, esclavos y excluidos en general. Hermas nunca utiliza en sus ejemplos al </w:t>
      </w:r>
      <w:r w:rsidRPr="00F759B3">
        <w:rPr>
          <w:rFonts w:cs="Times New Roman"/>
          <w:i/>
          <w:iCs/>
        </w:rPr>
        <w:t>Pater Familias</w:t>
      </w:r>
      <w:r w:rsidRPr="00F759B3">
        <w:rPr>
          <w:rFonts w:cs="Times New Roman"/>
        </w:rPr>
        <w:t xml:space="preserve"> o la relación amo-esclavo como ejemplo de obediencia; mucho menos utiliza </w:t>
      </w:r>
      <w:r w:rsidRPr="00F759B3">
        <w:rPr>
          <w:rFonts w:cs="Times New Roman"/>
          <w:lang w:val="es-ES_tradnl"/>
        </w:rPr>
        <w:t>–</w:t>
      </w:r>
      <w:r w:rsidRPr="00F759B3">
        <w:rPr>
          <w:rFonts w:cs="Times New Roman"/>
        </w:rPr>
        <w:t>como hace Clemente</w:t>
      </w:r>
      <w:r w:rsidRPr="00F759B3">
        <w:rPr>
          <w:rFonts w:cs="Times New Roman"/>
          <w:lang w:val="es-ES_tradnl"/>
        </w:rPr>
        <w:t>–</w:t>
      </w:r>
      <w:r w:rsidRPr="00F759B3">
        <w:rPr>
          <w:rFonts w:cs="Times New Roman"/>
        </w:rPr>
        <w:t xml:space="preserve"> al estado romano e incluso al ejército como modelo de disciplina, orden y obediencia al interior de la iglesia. Hermas crea un nuevo modelo de familia y la iglesia doméstica, basado en la igualdad y solidaridad espiritual de sus miembros [</w:t>
      </w:r>
      <w:r w:rsidRPr="00F759B3">
        <w:rPr>
          <w:rFonts w:cs="Times New Roman"/>
          <w:i/>
          <w:iCs/>
          <w:smallCaps/>
        </w:rPr>
        <w:t>nota</w:t>
      </w:r>
      <w:r w:rsidRPr="00F759B3">
        <w:rPr>
          <w:rFonts w:cs="Times New Roman"/>
          <w:i/>
          <w:iCs/>
        </w:rPr>
        <w:t xml:space="preserve"> 27:</w:t>
      </w:r>
      <w:r w:rsidRPr="00F759B3">
        <w:rPr>
          <w:rFonts w:cs="Times New Roman"/>
        </w:rPr>
        <w:t xml:space="preserve"> Eduardo Hoornaert:</w:t>
      </w:r>
      <w:r w:rsidRPr="00F759B3">
        <w:rPr>
          <w:rFonts w:cs="Times New Roman"/>
          <w:i/>
          <w:iCs/>
        </w:rPr>
        <w:t> Cristaos da Terceira Generaçao (100-130).</w:t>
      </w:r>
      <w:r w:rsidRPr="00F759B3">
        <w:rPr>
          <w:rFonts w:cs="Times New Roman"/>
        </w:rPr>
        <w:t xml:space="preserve"> Petrópolis (Vozes) Sao Paulo (Cehila) 1997, 142 pp. </w:t>
      </w:r>
      <w:r w:rsidRPr="00F759B3">
        <w:rPr>
          <w:rFonts w:cs="Times New Roman"/>
          <w:i/>
          <w:iCs/>
        </w:rPr>
        <w:t>Cf.</w:t>
      </w:r>
      <w:r w:rsidRPr="00F759B3">
        <w:rPr>
          <w:rFonts w:cs="Times New Roman"/>
        </w:rPr>
        <w:t xml:space="preserve"> esp. pp. 68-72 sobre Patronato y Solidaridad]. Hermas ejerce su autoridad en forma carismática, basado en la revelación y visión de tipo apocalíptico y profético. Clemente sigue los modelos de autoridad del mundo pagano. Hermas exige la fe, Clemente la obediencia. Clemente hace la distinción entre clero y laico y pone el acento en la mantención del orden en la comunidad, reflejando la estructura jerárquica del gobierno romano. Hermas pone el acento en la </w:t>
      </w:r>
      <w:r w:rsidRPr="00F759B3">
        <w:rPr>
          <w:rFonts w:cs="Times New Roman"/>
          <w:i/>
          <w:iCs/>
        </w:rPr>
        <w:t>diferencia</w:t>
      </w:r>
      <w:r w:rsidRPr="00F759B3">
        <w:rPr>
          <w:rFonts w:cs="Times New Roman"/>
        </w:rPr>
        <w:t> entre la comunidad cristiana y el mundo político e insiste en la </w:t>
      </w:r>
      <w:r w:rsidRPr="00F759B3">
        <w:rPr>
          <w:rFonts w:cs="Times New Roman"/>
          <w:i/>
          <w:iCs/>
        </w:rPr>
        <w:t>identidad </w:t>
      </w:r>
      <w:r w:rsidRPr="00F759B3">
        <w:rPr>
          <w:rFonts w:cs="Times New Roman"/>
        </w:rPr>
        <w:t xml:space="preserve">de la comunidad y no tanto en el orden y la autoridad interna. Cuando Clemente escribe a los Corintios le interesa salvar el principio de autoridad, para que reine el orden y la paz. No le interesa el motivo de la crisis en Corinto, sino la defensa del principio de autoridad. </w:t>
      </w:r>
      <w:r w:rsidRPr="00F759B3">
        <w:rPr>
          <w:rFonts w:cs="Times New Roman"/>
          <w:i/>
          <w:iCs/>
        </w:rPr>
        <w:t>Clemente lucha por el orden, Hermas por la diversidad</w:t>
      </w:r>
      <w:r w:rsidRPr="00F759B3">
        <w:rPr>
          <w:rFonts w:cs="Times New Roman"/>
        </w:rPr>
        <w:t>.</w:t>
      </w:r>
    </w:p>
    <w:p w:rsidR="00534364" w:rsidRPr="00F759B3" w:rsidRDefault="00534364" w:rsidP="00534364">
      <w:pPr>
        <w:spacing w:line="240" w:lineRule="auto"/>
        <w:ind w:left="709"/>
        <w:jc w:val="both"/>
        <w:rPr>
          <w:rFonts w:cs="Times New Roman"/>
        </w:rPr>
      </w:pPr>
      <w:r w:rsidRPr="00F759B3">
        <w:rPr>
          <w:rFonts w:cs="Times New Roman"/>
        </w:rPr>
        <w:t xml:space="preserve">La iglesia de Roma, nacida de esclavos y migrantes, de habla griega de Grecia y Asia, </w:t>
      </w:r>
      <w:r w:rsidRPr="00F759B3">
        <w:rPr>
          <w:rFonts w:cs="Times New Roman"/>
          <w:i/>
          <w:iCs/>
        </w:rPr>
        <w:t>organizada en múltiples comunidades cada una con su obispo, sin un obispo único sobre todas ellas</w:t>
      </w:r>
      <w:r w:rsidRPr="00F759B3">
        <w:rPr>
          <w:rFonts w:cs="Times New Roman"/>
        </w:rPr>
        <w:t xml:space="preserve">, fundada sobre la fe de los mártires, especialmente sobre la memoria de Pedro y Pablo, se transformó en la segunda mitad del siglo </w:t>
      </w:r>
      <w:r w:rsidRPr="00F759B3">
        <w:rPr>
          <w:rFonts w:cs="Times New Roman"/>
          <w:smallCaps/>
        </w:rPr>
        <w:t>ii</w:t>
      </w:r>
      <w:r w:rsidRPr="00F759B3">
        <w:rPr>
          <w:rFonts w:cs="Times New Roman"/>
        </w:rPr>
        <w:t xml:space="preserve"> siguiendo más la tradición de Clemente que del </w:t>
      </w:r>
      <w:r w:rsidRPr="00F759B3">
        <w:rPr>
          <w:rFonts w:cs="Times New Roman"/>
          <w:i/>
          <w:iCs/>
        </w:rPr>
        <w:t>Pastor de Hermas</w:t>
      </w:r>
      <w:r w:rsidRPr="00F759B3">
        <w:rPr>
          <w:rFonts w:cs="Times New Roman"/>
        </w:rPr>
        <w:t xml:space="preserve">. Con el obispo Aniceto (154-165) tenemos seguridad que se trata de un líder de toda la iglesia de Roma. El obispo Víctor de Roma (189-199), considerado por muchos autores el primer Papa en sentido estricto, es el primer obispo latino, </w:t>
      </w:r>
      <w:r w:rsidRPr="00F759B3">
        <w:rPr>
          <w:rFonts w:cs="Times New Roman"/>
          <w:i/>
          <w:iCs/>
        </w:rPr>
        <w:t>perteneciente a la élite latina que quiere unificar la iglesia con el poder</w:t>
      </w:r>
      <w:r w:rsidRPr="00F759B3">
        <w:rPr>
          <w:rFonts w:cs="Times New Roman"/>
          <w:b/>
          <w:bCs/>
        </w:rPr>
        <w:t xml:space="preserve"> </w:t>
      </w:r>
      <w:r w:rsidRPr="00F759B3">
        <w:rPr>
          <w:rFonts w:cs="Times New Roman"/>
        </w:rPr>
        <w:t xml:space="preserve">(imponiendo con la fuerza la fecha de Pascua a las iglesias de Asia), según el orden secular romano en la tradición de Clemente. El </w:t>
      </w:r>
      <w:r w:rsidRPr="00F759B3">
        <w:rPr>
          <w:rFonts w:cs="Times New Roman"/>
          <w:i/>
          <w:iCs/>
        </w:rPr>
        <w:t>Pastor de Hermas</w:t>
      </w:r>
      <w:r w:rsidRPr="00F759B3">
        <w:rPr>
          <w:rFonts w:cs="Times New Roman"/>
        </w:rPr>
        <w:t>, sin embargo, seguirá viviendo en la tradición apostólica y en el sentido de fe de los pobres, fundado sobre los mártires Pedro y Pablo, sobre los cuales se construye la iglesia de Roma</w:t>
      </w:r>
      <w:r w:rsidRPr="00F759B3">
        <w:rPr>
          <w:rFonts w:cs="Times New Roman"/>
          <w:b/>
          <w:bCs/>
          <w:color w:val="FF0000"/>
          <w:vertAlign w:val="superscript"/>
        </w:rPr>
        <w:endnoteReference w:id="3"/>
      </w:r>
      <w:r w:rsidRPr="00F759B3">
        <w:rPr>
          <w:rFonts w:cs="Times New Roman"/>
        </w:rPr>
        <w:t>.</w:t>
      </w:r>
    </w:p>
    <w:p w:rsidR="00534364" w:rsidRPr="00F759B3" w:rsidRDefault="00534364" w:rsidP="00534364">
      <w:pPr>
        <w:jc w:val="both"/>
        <w:rPr>
          <w:rFonts w:cs="Times New Roman"/>
          <w:bCs/>
        </w:rPr>
      </w:pPr>
      <w:r w:rsidRPr="00F759B3">
        <w:rPr>
          <w:rFonts w:cs="Times New Roman"/>
          <w:bCs/>
        </w:rPr>
        <w:t xml:space="preserve">En tal contexto eclesial, los “círculos conversacionales” domésticos y sencillos, no podían sobrevivir. Porque un “círculo” </w:t>
      </w:r>
      <w:r w:rsidRPr="00F759B3">
        <w:rPr>
          <w:rFonts w:cs="Times New Roman"/>
          <w:bCs/>
          <w:i/>
          <w:iCs/>
        </w:rPr>
        <w:t>tiene por requisito la igualdad y horizontalidad de todas las personas participantes</w:t>
      </w:r>
      <w:r w:rsidRPr="00F759B3">
        <w:rPr>
          <w:rFonts w:cs="Times New Roman"/>
          <w:bCs/>
        </w:rPr>
        <w:t xml:space="preserve">, todos toman parte en la deliberación y en las decisiones por consenso. Justamente lo que un “clero” viene a quebrar. Por otra parte, la mesa de la cena doméstica en la “ekklesia” de la casa no requiere de un “sacerdote”, todos pueden ejercer los diversos servicios que sean necesarios, incluyendo la presidencia, la acción de gracias (“eucaristía”), la preparación de los alimentos, los signos de la fracción del pan y del reparto del vino, los cantos, las demás oraciones, las exhortaciones, la prédica y comentario de la memoria de Jesús, etc. Porque se trataba de una </w:t>
      </w:r>
      <w:r w:rsidRPr="00F759B3">
        <w:rPr>
          <w:rFonts w:cs="Times New Roman"/>
          <w:bCs/>
          <w:i/>
          <w:iCs/>
        </w:rPr>
        <w:t>liturgia doméstica</w:t>
      </w:r>
      <w:r w:rsidRPr="00F759B3">
        <w:rPr>
          <w:rFonts w:cs="Times New Roman"/>
          <w:bCs/>
        </w:rPr>
        <w:t>, construida grupalmente y atravesada por la informalidad y un sentido sagrado de lo sencillo. Toda esta riqueza comunitaria es lo que se aborta cuando nace la institución llamada “clero”.</w:t>
      </w:r>
    </w:p>
    <w:p w:rsidR="00534364" w:rsidRPr="00F759B3" w:rsidRDefault="00534364" w:rsidP="00534364">
      <w:pPr>
        <w:jc w:val="both"/>
        <w:rPr>
          <w:rFonts w:cs="Times New Roman"/>
          <w:bCs/>
        </w:rPr>
      </w:pPr>
      <w:r w:rsidRPr="00F759B3">
        <w:rPr>
          <w:rFonts w:cs="Times New Roman"/>
          <w:bCs/>
        </w:rPr>
        <w:t xml:space="preserve">El ascenso del “clero” no fue un proceso fácil ni exento de polémica entre los cristianos. Para una revisión muy lúcida y aguda acerca de lo que estuvo en juego respecto de la autoridad en la Iglesia y por detrás de la pugna sobre quién realmente era un “hereje” entre “ortodoxos católicos” y “cristianos gnósticos”, recomiendo vivamente leer la obra de Elaine Pagels, </w:t>
      </w:r>
      <w:r w:rsidRPr="00F759B3">
        <w:rPr>
          <w:rFonts w:cs="Times New Roman"/>
          <w:bCs/>
          <w:i/>
        </w:rPr>
        <w:t>Los Evangelios Gnósticos</w:t>
      </w:r>
      <w:r w:rsidRPr="00F759B3">
        <w:rPr>
          <w:rFonts w:cs="Times New Roman"/>
          <w:bCs/>
        </w:rPr>
        <w:t xml:space="preserve">. En especial su capítulo 2, titulado: </w:t>
      </w:r>
      <w:r w:rsidRPr="00F759B3">
        <w:rPr>
          <w:rFonts w:cs="Times New Roman"/>
          <w:bCs/>
          <w:i/>
        </w:rPr>
        <w:t>«Un Dios, un obispo»: La política del monoteísmo</w:t>
      </w:r>
      <w:r w:rsidRPr="00F759B3">
        <w:rPr>
          <w:rFonts w:cs="Times New Roman"/>
          <w:bCs/>
        </w:rPr>
        <w:t xml:space="preserve"> (págs. 68-90). Allí se afirma:</w:t>
      </w:r>
    </w:p>
    <w:p w:rsidR="00534364" w:rsidRPr="00F759B3" w:rsidRDefault="00534364" w:rsidP="00534364">
      <w:pPr>
        <w:spacing w:after="0" w:line="240" w:lineRule="auto"/>
        <w:ind w:left="705"/>
        <w:jc w:val="both"/>
        <w:rPr>
          <w:rFonts w:cs="Times New Roman"/>
          <w:bCs/>
        </w:rPr>
      </w:pPr>
      <w:r w:rsidRPr="00F759B3">
        <w:rPr>
          <w:rFonts w:cs="Times New Roman"/>
          <w:bCs/>
        </w:rPr>
        <w:t>Esta controversia tuvo lugar en el preciso momento en que formas anteriores, diversificadas, de liderato eclesiástico cedían ante una jerarquía unificada de cargos en la iglesia [</w:t>
      </w:r>
      <w:r w:rsidRPr="00F759B3">
        <w:rPr>
          <w:rFonts w:cs="Times New Roman"/>
          <w:i/>
          <w:iCs/>
          <w:smallCaps/>
        </w:rPr>
        <w:t>nota</w:t>
      </w:r>
      <w:r w:rsidRPr="00F759B3">
        <w:rPr>
          <w:rFonts w:cs="Times New Roman"/>
          <w:bCs/>
          <w:i/>
        </w:rPr>
        <w:t xml:space="preserve"> 61:</w:t>
      </w:r>
      <w:r w:rsidRPr="00F759B3">
        <w:rPr>
          <w:rFonts w:cs="Times New Roman"/>
          <w:bCs/>
        </w:rPr>
        <w:t xml:space="preserve"> Para una discusión detallada de este proceso, véase Campenhausen, </w:t>
      </w:r>
      <w:r w:rsidRPr="00F759B3">
        <w:rPr>
          <w:rFonts w:cs="Times New Roman"/>
          <w:bCs/>
          <w:i/>
        </w:rPr>
        <w:t>Ecclesiastical Authority and Spiritual Power</w:t>
      </w:r>
      <w:r w:rsidRPr="00F759B3">
        <w:rPr>
          <w:rFonts w:cs="Times New Roman"/>
          <w:bCs/>
        </w:rPr>
        <w:t>, pp. 76 ss.].</w:t>
      </w:r>
    </w:p>
    <w:p w:rsidR="00534364" w:rsidRPr="00F759B3" w:rsidRDefault="00534364" w:rsidP="00534364">
      <w:pPr>
        <w:spacing w:after="0" w:line="240" w:lineRule="auto"/>
        <w:ind w:left="705"/>
        <w:jc w:val="both"/>
        <w:rPr>
          <w:rFonts w:cs="Times New Roman"/>
          <w:bCs/>
        </w:rPr>
      </w:pPr>
      <w:r w:rsidRPr="00F759B3">
        <w:rPr>
          <w:rFonts w:cs="Times New Roman"/>
          <w:bCs/>
        </w:rPr>
        <w:t>[…]</w:t>
      </w:r>
    </w:p>
    <w:p w:rsidR="00534364" w:rsidRPr="00F759B3" w:rsidRDefault="00534364" w:rsidP="00534364">
      <w:pPr>
        <w:spacing w:after="120" w:line="240" w:lineRule="auto"/>
        <w:ind w:left="705"/>
        <w:jc w:val="both"/>
        <w:rPr>
          <w:rFonts w:cs="Times New Roman"/>
          <w:bCs/>
        </w:rPr>
      </w:pPr>
      <w:r w:rsidRPr="00F759B3">
        <w:rPr>
          <w:rFonts w:cs="Times New Roman"/>
          <w:bCs/>
        </w:rPr>
        <w:t>Si los cristianos gnósticos criticaban el desarrollo de una jerarquía de la iglesia, ¿cómo podían formar ellos mismos una organización social? Si rechazaban el principio del rango, insistiendo en que todos son iguales, ¿cómo podían siquiera celebrar una reunión? Ireneo nos habla de la práctica de un grupo que él conoce y que forma parte de su propia comunidad de Lyon: el grupo encabezado por Marco, discípulo de Valentín [</w:t>
      </w:r>
      <w:r w:rsidRPr="00F759B3">
        <w:rPr>
          <w:rFonts w:cs="Times New Roman"/>
          <w:i/>
          <w:iCs/>
          <w:smallCaps/>
        </w:rPr>
        <w:t>nota</w:t>
      </w:r>
      <w:r w:rsidRPr="00F759B3">
        <w:rPr>
          <w:rFonts w:cs="Times New Roman"/>
          <w:bCs/>
          <w:i/>
        </w:rPr>
        <w:t xml:space="preserve"> 65:</w:t>
      </w:r>
      <w:r w:rsidRPr="00F759B3">
        <w:rPr>
          <w:rFonts w:cs="Times New Roman"/>
          <w:bCs/>
        </w:rPr>
        <w:t xml:space="preserve"> Ireneo, </w:t>
      </w:r>
      <w:r w:rsidRPr="00F759B3">
        <w:rPr>
          <w:rFonts w:cs="Times New Roman"/>
          <w:bCs/>
          <w:i/>
        </w:rPr>
        <w:t>Adversus haereses</w:t>
      </w:r>
      <w:r w:rsidRPr="00F759B3">
        <w:rPr>
          <w:rFonts w:cs="Times New Roman"/>
          <w:bCs/>
        </w:rPr>
        <w:t xml:space="preserve">, </w:t>
      </w:r>
      <w:r w:rsidRPr="00F759B3">
        <w:rPr>
          <w:rFonts w:cs="Times New Roman"/>
          <w:bCs/>
          <w:smallCaps/>
        </w:rPr>
        <w:t>i</w:t>
      </w:r>
      <w:r w:rsidRPr="00F759B3">
        <w:rPr>
          <w:rFonts w:cs="Times New Roman"/>
          <w:bCs/>
        </w:rPr>
        <w:t>, 13,1-6]. […]</w:t>
      </w:r>
    </w:p>
    <w:p w:rsidR="00534364" w:rsidRPr="00F759B3" w:rsidRDefault="00534364" w:rsidP="00534364">
      <w:pPr>
        <w:spacing w:after="120" w:line="240" w:lineRule="auto"/>
        <w:ind w:left="705"/>
        <w:jc w:val="both"/>
        <w:rPr>
          <w:rFonts w:cs="Times New Roman"/>
          <w:bCs/>
        </w:rPr>
      </w:pPr>
      <w:r w:rsidRPr="00F759B3">
        <w:rPr>
          <w:rFonts w:cs="Times New Roman"/>
          <w:bCs/>
        </w:rPr>
        <w:t xml:space="preserve">¿Cómo celebraban sus reuniones los miembros de este círculo de «pneumáticos» (literalmente: «aquellos que son espirituales»)? Ireneo nos cuenta que, cuando se reunían, primeramente todos los miembros participaban en la ceremonia de echar suertes. Al parecer, aquel al que le correspondía determinada suerte era designado para interpretar el papel de </w:t>
      </w:r>
      <w:r w:rsidRPr="00F759B3">
        <w:rPr>
          <w:rFonts w:cs="Times New Roman"/>
          <w:bCs/>
          <w:i/>
        </w:rPr>
        <w:t>sacerdote</w:t>
      </w:r>
      <w:r w:rsidRPr="00F759B3">
        <w:rPr>
          <w:rFonts w:cs="Times New Roman"/>
          <w:bCs/>
        </w:rPr>
        <w:t xml:space="preserve">; otro debía ofrecer el sacramento, en calidad de </w:t>
      </w:r>
      <w:r w:rsidRPr="00F759B3">
        <w:rPr>
          <w:rFonts w:cs="Times New Roman"/>
          <w:bCs/>
          <w:i/>
        </w:rPr>
        <w:t>obispo</w:t>
      </w:r>
      <w:r w:rsidRPr="00F759B3">
        <w:rPr>
          <w:rFonts w:cs="Times New Roman"/>
          <w:bCs/>
        </w:rPr>
        <w:t xml:space="preserve">, otro leía las Escrituras para el culto y otros se dirigían al grupo en calidad de </w:t>
      </w:r>
      <w:r w:rsidRPr="00F759B3">
        <w:rPr>
          <w:rFonts w:cs="Times New Roman"/>
          <w:bCs/>
          <w:i/>
        </w:rPr>
        <w:t>profeta</w:t>
      </w:r>
      <w:r w:rsidRPr="00F759B3">
        <w:rPr>
          <w:rFonts w:cs="Times New Roman"/>
          <w:bCs/>
        </w:rPr>
        <w:t>, ofreciendo instrucción espiritual extemporánea. Cuando volvían a reunirse, de nuevo echaban suertes para que, de esta manera, los papeles nunca los interpretaran las mismas personas.</w:t>
      </w:r>
    </w:p>
    <w:p w:rsidR="00534364" w:rsidRPr="00F759B3" w:rsidRDefault="00534364" w:rsidP="00534364">
      <w:pPr>
        <w:spacing w:after="120" w:line="240" w:lineRule="auto"/>
        <w:ind w:left="705"/>
        <w:jc w:val="both"/>
        <w:rPr>
          <w:rFonts w:cs="Times New Roman"/>
          <w:bCs/>
        </w:rPr>
      </w:pPr>
      <w:r w:rsidRPr="00F759B3">
        <w:rPr>
          <w:rFonts w:cs="Times New Roman"/>
          <w:bCs/>
        </w:rPr>
        <w:t xml:space="preserve">Esta práctica creó una estructura de autoridad muy distinta. En un momento en que los cristianos ortodoxos discriminaban de manera creciente entre el clero y el laicado, este grupo de cristianos gnósticos demostró que, entre ellos, rehusaban reconocer semejantes distinciones. En lugar de clasificar a sus miembros en «órdenes» superiores e inferiores dentro de una jerarquía, seguían el principio de la igualdad estricta. Todos los iniciados, tanto hombres como mujeres, participaban en la ceremonia de echar suertes; cualquiera podía salir elegido para hacer las veces de </w:t>
      </w:r>
      <w:r w:rsidRPr="00F759B3">
        <w:rPr>
          <w:rFonts w:cs="Times New Roman"/>
          <w:bCs/>
          <w:i/>
        </w:rPr>
        <w:t>sacerdote</w:t>
      </w:r>
      <w:r w:rsidRPr="00F759B3">
        <w:rPr>
          <w:rFonts w:cs="Times New Roman"/>
          <w:bCs/>
        </w:rPr>
        <w:t xml:space="preserve">, </w:t>
      </w:r>
      <w:r w:rsidRPr="00F759B3">
        <w:rPr>
          <w:rFonts w:cs="Times New Roman"/>
          <w:bCs/>
          <w:i/>
        </w:rPr>
        <w:t>obispo</w:t>
      </w:r>
      <w:r w:rsidRPr="00F759B3">
        <w:rPr>
          <w:rFonts w:cs="Times New Roman"/>
          <w:bCs/>
        </w:rPr>
        <w:t xml:space="preserve"> o </w:t>
      </w:r>
      <w:r w:rsidRPr="00F759B3">
        <w:rPr>
          <w:rFonts w:cs="Times New Roman"/>
          <w:bCs/>
          <w:i/>
        </w:rPr>
        <w:t>profeta</w:t>
      </w:r>
      <w:r w:rsidRPr="00F759B3">
        <w:rPr>
          <w:rFonts w:cs="Times New Roman"/>
          <w:bCs/>
        </w:rPr>
        <w:t xml:space="preserve">. Asimismo, dado que echaban suertes en todas las reuniones, ni siquiera las distinciones establecidas de esta forma podían convertirse jamás en «rangos» permanentes. Finalmente, lo que es más importante de todo: mediante esta práctica pretendían suprimir el elemento de la elección humana. Un observador del siglo </w:t>
      </w:r>
      <w:r w:rsidRPr="00F759B3">
        <w:rPr>
          <w:rFonts w:cs="Times New Roman"/>
          <w:bCs/>
          <w:smallCaps/>
        </w:rPr>
        <w:t>xx</w:t>
      </w:r>
      <w:r w:rsidRPr="00F759B3">
        <w:rPr>
          <w:rFonts w:cs="Times New Roman"/>
          <w:bCs/>
        </w:rPr>
        <w:t xml:space="preserve"> podría suponer que los gnósticos dejaban estas cosas en manos del azar, pero ellos lo veían de otra manera. Creían que, como Dios dirige todo cuanto hay en el universo, las suertes expresaban su elección.</w:t>
      </w:r>
    </w:p>
    <w:p w:rsidR="00534364" w:rsidRPr="00F759B3" w:rsidRDefault="00534364" w:rsidP="00534364">
      <w:pPr>
        <w:spacing w:after="120" w:line="240" w:lineRule="auto"/>
        <w:ind w:left="705"/>
        <w:jc w:val="both"/>
        <w:rPr>
          <w:rFonts w:cs="Times New Roman"/>
          <w:bCs/>
        </w:rPr>
      </w:pPr>
      <w:r w:rsidRPr="00F759B3">
        <w:rPr>
          <w:rFonts w:cs="Times New Roman"/>
          <w:bCs/>
        </w:rPr>
        <w:t>Estas prácticas indujeron a Tertuliano a atacar «el comportamiento de los herejes»:</w:t>
      </w:r>
    </w:p>
    <w:p w:rsidR="00534364" w:rsidRPr="00F759B3" w:rsidRDefault="00534364" w:rsidP="00534364">
      <w:pPr>
        <w:spacing w:after="120" w:line="240" w:lineRule="auto"/>
        <w:ind w:left="1413" w:firstLine="3"/>
        <w:jc w:val="both"/>
        <w:rPr>
          <w:rFonts w:cs="Times New Roman"/>
          <w:bCs/>
          <w:sz w:val="20"/>
          <w:szCs w:val="20"/>
        </w:rPr>
      </w:pPr>
      <w:r w:rsidRPr="00F759B3">
        <w:rPr>
          <w:rFonts w:cs="Times New Roman"/>
          <w:bCs/>
          <w:sz w:val="20"/>
          <w:szCs w:val="20"/>
        </w:rPr>
        <w:t xml:space="preserve">¡Qué frívolo, qué mundanal, qué meramente </w:t>
      </w:r>
      <w:r w:rsidRPr="00F759B3">
        <w:rPr>
          <w:rFonts w:cs="Times New Roman"/>
          <w:bCs/>
          <w:i/>
          <w:sz w:val="20"/>
          <w:szCs w:val="20"/>
        </w:rPr>
        <w:t>humano</w:t>
      </w:r>
      <w:r w:rsidRPr="00F759B3">
        <w:rPr>
          <w:rFonts w:cs="Times New Roman"/>
          <w:bCs/>
          <w:sz w:val="20"/>
          <w:szCs w:val="20"/>
        </w:rPr>
        <w:t xml:space="preserve"> es, sin seriedad, sin autoridad, sin disciplina, como corresponde a su fe! Para empezar no se sabe a ciencia cierta quién es catecúmeno y quién es creyente: todos tienen acceso igualmente, escuchan igualmente, rezan igualmente: incluso los paganos, si alguno de ellos está presente… También comparten el beso de la paz con todos los que acuden, pues no les importa la diferencia con que traten los temas, si se reúnen para tomar por asalto la ciudadela de la verdad única… </w:t>
      </w:r>
      <w:r w:rsidRPr="00F759B3">
        <w:rPr>
          <w:rFonts w:cs="Times New Roman"/>
          <w:bCs/>
          <w:i/>
          <w:sz w:val="20"/>
          <w:szCs w:val="20"/>
        </w:rPr>
        <w:t>Todos</w:t>
      </w:r>
      <w:r w:rsidRPr="00F759B3">
        <w:rPr>
          <w:rFonts w:cs="Times New Roman"/>
          <w:bCs/>
          <w:sz w:val="20"/>
          <w:szCs w:val="20"/>
        </w:rPr>
        <w:t xml:space="preserve"> ellos son arrogantes… ¡</w:t>
      </w:r>
      <w:r w:rsidRPr="00F759B3">
        <w:rPr>
          <w:rFonts w:cs="Times New Roman"/>
          <w:bCs/>
          <w:i/>
          <w:sz w:val="20"/>
          <w:szCs w:val="20"/>
        </w:rPr>
        <w:t>todos</w:t>
      </w:r>
      <w:r w:rsidRPr="00F759B3">
        <w:rPr>
          <w:rFonts w:cs="Times New Roman"/>
          <w:bCs/>
          <w:sz w:val="20"/>
          <w:szCs w:val="20"/>
        </w:rPr>
        <w:t xml:space="preserve"> os ofrecen la </w:t>
      </w:r>
      <w:r w:rsidRPr="00F759B3">
        <w:rPr>
          <w:rFonts w:cs="Times New Roman"/>
          <w:bCs/>
          <w:i/>
          <w:sz w:val="20"/>
          <w:szCs w:val="20"/>
        </w:rPr>
        <w:t>gnosis</w:t>
      </w:r>
      <w:r w:rsidRPr="00F759B3">
        <w:rPr>
          <w:rFonts w:cs="Times New Roman"/>
          <w:bCs/>
          <w:sz w:val="20"/>
          <w:szCs w:val="20"/>
        </w:rPr>
        <w:t>! [</w:t>
      </w:r>
      <w:r w:rsidRPr="00F759B3">
        <w:rPr>
          <w:rFonts w:cs="Times New Roman"/>
          <w:i/>
          <w:iCs/>
          <w:smallCaps/>
        </w:rPr>
        <w:t>nota</w:t>
      </w:r>
      <w:r w:rsidRPr="00F759B3">
        <w:rPr>
          <w:rFonts w:cs="Times New Roman"/>
          <w:bCs/>
          <w:i/>
          <w:sz w:val="20"/>
          <w:szCs w:val="20"/>
        </w:rPr>
        <w:t xml:space="preserve"> 68:</w:t>
      </w:r>
      <w:r w:rsidRPr="00F759B3">
        <w:rPr>
          <w:rFonts w:cs="Times New Roman"/>
          <w:bCs/>
          <w:sz w:val="20"/>
          <w:szCs w:val="20"/>
        </w:rPr>
        <w:t xml:space="preserve"> Tertuliano, </w:t>
      </w:r>
      <w:r w:rsidRPr="00F759B3">
        <w:rPr>
          <w:rFonts w:cs="Times New Roman"/>
          <w:bCs/>
          <w:i/>
          <w:sz w:val="20"/>
          <w:szCs w:val="20"/>
        </w:rPr>
        <w:t>De praescriptione haereticorum</w:t>
      </w:r>
      <w:r w:rsidRPr="00F759B3">
        <w:rPr>
          <w:rFonts w:cs="Times New Roman"/>
          <w:bCs/>
          <w:sz w:val="20"/>
          <w:szCs w:val="20"/>
        </w:rPr>
        <w:t>, 41. Cursiva de la autora].</w:t>
      </w:r>
    </w:p>
    <w:p w:rsidR="00534364" w:rsidRPr="00F759B3" w:rsidRDefault="00534364" w:rsidP="00534364">
      <w:pPr>
        <w:spacing w:after="120" w:line="240" w:lineRule="auto"/>
        <w:ind w:left="705"/>
        <w:jc w:val="both"/>
        <w:rPr>
          <w:rFonts w:cs="Times New Roman"/>
          <w:bCs/>
        </w:rPr>
      </w:pPr>
      <w:r w:rsidRPr="00F759B3">
        <w:rPr>
          <w:rFonts w:cs="Times New Roman"/>
          <w:bCs/>
        </w:rPr>
        <w:t>No cabe duda de que el principio de igualdad en el acceso, la participación y las pretensiones de conocimiento impresionó a Tertuliano. Pero lo interpretó como prueba de que los herejes «derrocan la disciplina»: la disciplina apropiada, a su juicio, exigía ciertos grados de distinción entre los miembros de la comunidad. Tertuliano protesta especialmente contra la participación de «aquellas mujeres entre los herejes» que compartían posiciones de autoridad con los hombres: «Enseñan, participan en las discusiones; exorcizan; curan» [</w:t>
      </w:r>
      <w:r w:rsidRPr="00F759B3">
        <w:rPr>
          <w:rFonts w:cs="Times New Roman"/>
          <w:i/>
          <w:iCs/>
          <w:smallCaps/>
        </w:rPr>
        <w:t>nota</w:t>
      </w:r>
      <w:r w:rsidRPr="00F759B3">
        <w:rPr>
          <w:rFonts w:cs="Times New Roman"/>
          <w:bCs/>
          <w:i/>
        </w:rPr>
        <w:t xml:space="preserve"> 69: Ibíd.</w:t>
      </w:r>
      <w:r w:rsidRPr="00F759B3">
        <w:rPr>
          <w:rFonts w:cs="Times New Roman"/>
          <w:bCs/>
        </w:rPr>
        <w:t>, 41]. Tertuliano sospecha que incluso puede que bauticen, lo cual quería decir que ¡también actuaban como obispos!</w:t>
      </w:r>
    </w:p>
    <w:p w:rsidR="00534364" w:rsidRPr="00F759B3" w:rsidRDefault="00534364" w:rsidP="00534364">
      <w:pPr>
        <w:spacing w:after="120" w:line="240" w:lineRule="auto"/>
        <w:ind w:left="705"/>
        <w:jc w:val="both"/>
        <w:rPr>
          <w:rFonts w:cs="Times New Roman"/>
          <w:bCs/>
        </w:rPr>
      </w:pPr>
      <w:r w:rsidRPr="00F759B3">
        <w:rPr>
          <w:rFonts w:cs="Times New Roman"/>
          <w:bCs/>
        </w:rPr>
        <w:t>Tertuliano también puso reparos al hecho de que</w:t>
      </w:r>
    </w:p>
    <w:p w:rsidR="00534364" w:rsidRPr="00F759B3" w:rsidRDefault="00534364" w:rsidP="00534364">
      <w:pPr>
        <w:spacing w:after="120" w:line="240" w:lineRule="auto"/>
        <w:ind w:left="1410"/>
        <w:jc w:val="both"/>
        <w:rPr>
          <w:rFonts w:cs="Times New Roman"/>
          <w:bCs/>
          <w:sz w:val="20"/>
          <w:szCs w:val="20"/>
        </w:rPr>
      </w:pPr>
      <w:r w:rsidRPr="00F759B3">
        <w:rPr>
          <w:rFonts w:cs="Times New Roman"/>
          <w:bCs/>
          <w:sz w:val="20"/>
          <w:szCs w:val="20"/>
        </w:rPr>
        <w:t>sus ordenaciones se administran descuidadamente, sean caprichosas y variables. En un momento dado ponen novicios en los cargos; en otro, personas ligadas por empleo secular… En ninguna parte es más fácil el ascenso que en el campo de los rebeldes, donde el simple hecho de estar allí es un servicio principal. De manera que hoy es obispo un hombre y mañana otro; la persona que hoy es diácono mañana es lectora; la que es sacerdote hoy es laica mañana; ¡pues incluso al laicado imponen las funciones del sacerdocio! [</w:t>
      </w:r>
      <w:r w:rsidRPr="00F759B3">
        <w:rPr>
          <w:rFonts w:cs="Times New Roman"/>
          <w:i/>
          <w:iCs/>
          <w:smallCaps/>
        </w:rPr>
        <w:t>nota</w:t>
      </w:r>
      <w:r w:rsidRPr="00F759B3">
        <w:rPr>
          <w:rFonts w:cs="Times New Roman"/>
          <w:bCs/>
          <w:i/>
          <w:sz w:val="20"/>
          <w:szCs w:val="20"/>
        </w:rPr>
        <w:t xml:space="preserve"> 70: Ibíd.</w:t>
      </w:r>
      <w:r w:rsidRPr="00F759B3">
        <w:rPr>
          <w:rFonts w:cs="Times New Roman"/>
          <w:bCs/>
          <w:sz w:val="20"/>
          <w:szCs w:val="20"/>
        </w:rPr>
        <w:t>, 41].</w:t>
      </w:r>
    </w:p>
    <w:p w:rsidR="00534364" w:rsidRPr="00F759B3" w:rsidRDefault="00534364" w:rsidP="00534364">
      <w:pPr>
        <w:spacing w:after="0" w:line="240" w:lineRule="auto"/>
        <w:ind w:left="705"/>
        <w:jc w:val="both"/>
        <w:rPr>
          <w:rFonts w:cs="Times New Roman"/>
          <w:bCs/>
        </w:rPr>
      </w:pPr>
      <w:r w:rsidRPr="00F759B3">
        <w:rPr>
          <w:rFonts w:cs="Times New Roman"/>
          <w:bCs/>
        </w:rPr>
        <w:t>Este notable pasaje revela las distinciones que Tertuliano tenía por esenciales para el orden de la iglesia: las distinciones entre cristianos recién llegados y cristianos experimentados; entre mujeres y hombres; entre un clero profesional y una gente ocupada en empleos seculares; entre lectores, diáconos, sacerdotes y obispos; y, sobre todo, entre el clero y el laicado. Los cristianos valentinianos, por otro lado, seguían una práctica que aseguraba la igualdad de todos los participantes. Su sistema no permitía la formación de jerarquía alguna ni de «órdenes» fijas del clero. Dado que el papel de cada persona cambiaba a diario, se minimizaban las ocasiones susceptibles de crear envidia contra las personas prominentes.</w:t>
      </w:r>
    </w:p>
    <w:p w:rsidR="00534364" w:rsidRPr="00F759B3" w:rsidRDefault="00534364" w:rsidP="00534364">
      <w:pPr>
        <w:spacing w:after="0" w:line="240" w:lineRule="auto"/>
        <w:ind w:left="705"/>
        <w:jc w:val="both"/>
        <w:rPr>
          <w:rFonts w:cs="Times New Roman"/>
          <w:bCs/>
        </w:rPr>
      </w:pPr>
      <w:r w:rsidRPr="00F759B3">
        <w:rPr>
          <w:rFonts w:cs="Times New Roman"/>
          <w:bCs/>
        </w:rPr>
        <w:t>[…]</w:t>
      </w:r>
    </w:p>
    <w:p w:rsidR="00534364" w:rsidRPr="00F759B3" w:rsidRDefault="00534364" w:rsidP="00534364">
      <w:pPr>
        <w:spacing w:after="120" w:line="240" w:lineRule="auto"/>
        <w:ind w:left="705"/>
        <w:jc w:val="both"/>
        <w:rPr>
          <w:rFonts w:cs="Times New Roman"/>
          <w:bCs/>
        </w:rPr>
      </w:pPr>
      <w:r w:rsidRPr="00F759B3">
        <w:rPr>
          <w:rFonts w:cs="Times New Roman"/>
          <w:bCs/>
        </w:rPr>
        <w:t>Con todo, nos equivocaríamos si pensásemos que en esta lucha participan solamente miembros del laicado que afirman poseer inspiración carismática y que luchan contra una jerarquía organizada, sin espíritu, de sacerdotes y obispos. Ireneo indica claramente lo contrario. Muchos de aquellos a quienes censuraba por propagar las enseñanzas gnósticas eran al mismo tiempo miembros prominentes de la jerarquía eclesiástica. En un caso Ireneo escribió a Víctor, obispo de Roma, para advertirle de que ciertos escritos gnósticos circulaban entre sus fieles [</w:t>
      </w:r>
      <w:r w:rsidRPr="00F759B3">
        <w:rPr>
          <w:rFonts w:cs="Times New Roman"/>
          <w:i/>
          <w:iCs/>
          <w:smallCaps/>
        </w:rPr>
        <w:t>nota</w:t>
      </w:r>
      <w:r w:rsidRPr="00F759B3">
        <w:rPr>
          <w:rFonts w:cs="Times New Roman"/>
          <w:bCs/>
          <w:i/>
        </w:rPr>
        <w:t xml:space="preserve"> 77:</w:t>
      </w:r>
      <w:r w:rsidRPr="00F759B3">
        <w:rPr>
          <w:rFonts w:cs="Times New Roman"/>
          <w:bCs/>
        </w:rPr>
        <w:t xml:space="preserve"> Ireneo, </w:t>
      </w:r>
      <w:r w:rsidRPr="00F759B3">
        <w:rPr>
          <w:rFonts w:cs="Times New Roman"/>
          <w:bCs/>
          <w:i/>
        </w:rPr>
        <w:t>Ad Florinum</w:t>
      </w:r>
      <w:r w:rsidRPr="00F759B3">
        <w:rPr>
          <w:rFonts w:cs="Times New Roman"/>
          <w:bCs/>
        </w:rPr>
        <w:t xml:space="preserve">, en Eusebio, </w:t>
      </w:r>
      <w:r w:rsidRPr="00F759B3">
        <w:rPr>
          <w:rFonts w:cs="Times New Roman"/>
          <w:bCs/>
          <w:i/>
        </w:rPr>
        <w:t>Historia ecclesiae</w:t>
      </w:r>
      <w:r w:rsidRPr="00F759B3">
        <w:rPr>
          <w:rFonts w:cs="Times New Roman"/>
          <w:bCs/>
        </w:rPr>
        <w:t xml:space="preserve">, </w:t>
      </w:r>
      <w:r w:rsidRPr="00F759B3">
        <w:rPr>
          <w:rFonts w:cs="Times New Roman"/>
          <w:bCs/>
          <w:smallCaps/>
        </w:rPr>
        <w:t>v</w:t>
      </w:r>
      <w:r w:rsidRPr="00F759B3">
        <w:rPr>
          <w:rFonts w:cs="Times New Roman"/>
          <w:bCs/>
        </w:rPr>
        <w:t xml:space="preserve">, 20,4-8]. Estos escritos le parecían especialmente peligrosos porque su autor, Florino, reivindicaba el prestigio que le confería su condición de sacerdote. Sin embargo, Ireneo advierte a Víctor que este sacerdote es también, secretamente, un iniciado gnóstico. Ireneo advirtió a sus propias congregaciones que «aquellos a quienes muchos creen sacerdotes… pero que no colocan el </w:t>
      </w:r>
      <w:r w:rsidRPr="00F759B3">
        <w:rPr>
          <w:rFonts w:cs="Times New Roman"/>
          <w:bCs/>
          <w:i/>
        </w:rPr>
        <w:t>temor de Dios</w:t>
      </w:r>
      <w:r w:rsidRPr="00F759B3">
        <w:rPr>
          <w:rFonts w:cs="Times New Roman"/>
          <w:bCs/>
        </w:rPr>
        <w:t xml:space="preserve"> en lugar supremo de sus corazones… están llenos de orgullo a causa de su prominencia en la comunidad». Tales personas, explicó, son secretamente gnósticas y «cometen actos malos en secreto, diciendo ‘Nadie nos ve’» [</w:t>
      </w:r>
      <w:r w:rsidRPr="00F759B3">
        <w:rPr>
          <w:rFonts w:cs="Times New Roman"/>
          <w:i/>
          <w:iCs/>
          <w:smallCaps/>
        </w:rPr>
        <w:t>nota</w:t>
      </w:r>
      <w:r w:rsidRPr="00F759B3">
        <w:rPr>
          <w:rFonts w:cs="Times New Roman"/>
          <w:bCs/>
          <w:i/>
        </w:rPr>
        <w:t xml:space="preserve"> 78:</w:t>
      </w:r>
      <w:r w:rsidRPr="00F759B3">
        <w:rPr>
          <w:rFonts w:cs="Times New Roman"/>
          <w:bCs/>
        </w:rPr>
        <w:t xml:space="preserve"> Ireneo, </w:t>
      </w:r>
      <w:r w:rsidRPr="00F759B3">
        <w:rPr>
          <w:rFonts w:cs="Times New Roman"/>
          <w:bCs/>
          <w:i/>
          <w:iCs/>
        </w:rPr>
        <w:t>Adversus haereses</w:t>
      </w:r>
      <w:r w:rsidRPr="00F759B3">
        <w:rPr>
          <w:rFonts w:cs="Times New Roman"/>
          <w:bCs/>
        </w:rPr>
        <w:t xml:space="preserve">, </w:t>
      </w:r>
      <w:r w:rsidRPr="00F759B3">
        <w:rPr>
          <w:rFonts w:cs="Times New Roman"/>
          <w:bCs/>
          <w:smallCaps/>
        </w:rPr>
        <w:t>iv</w:t>
      </w:r>
      <w:r w:rsidRPr="00F759B3">
        <w:rPr>
          <w:rFonts w:cs="Times New Roman"/>
          <w:bCs/>
        </w:rPr>
        <w:t>, 26,3. Cursiva de la autora]. Ireneo deja bien clara su intención de denunciar a aquellos que por fuera se comportaban como cristianos ortodoxos pero que en privado eran miembros de círculos gnósticos.</w:t>
      </w:r>
    </w:p>
    <w:p w:rsidR="00534364" w:rsidRPr="00F759B3" w:rsidRDefault="00534364" w:rsidP="00534364">
      <w:pPr>
        <w:spacing w:after="0" w:line="240" w:lineRule="auto"/>
        <w:ind w:left="705"/>
        <w:jc w:val="both"/>
        <w:rPr>
          <w:rFonts w:cs="Times New Roman"/>
          <w:bCs/>
        </w:rPr>
      </w:pPr>
      <w:r w:rsidRPr="00F759B3">
        <w:rPr>
          <w:rFonts w:cs="Times New Roman"/>
          <w:bCs/>
        </w:rPr>
        <w:t xml:space="preserve">¿Cómo podía el cristiano corriente distinguir la diferencia entre los sacerdotes verdaderos y los falsos? Ireneo declara que los ortodoxos seguirán las líneas de la sucesión apostólica: «Uno debe obedecer a los sacerdotes </w:t>
      </w:r>
      <w:r w:rsidRPr="00F759B3">
        <w:rPr>
          <w:rFonts w:cs="Times New Roman"/>
          <w:bCs/>
          <w:i/>
          <w:iCs/>
        </w:rPr>
        <w:t>que están en la iglesia</w:t>
      </w:r>
      <w:r w:rsidRPr="00F759B3">
        <w:rPr>
          <w:rFonts w:cs="Times New Roman"/>
          <w:bCs/>
        </w:rPr>
        <w:t>, es decir… aquellos que poseen la sucesión de los apóstoles. Pues ellos reciben simultáneamente con la sucesión episcopal el don seguro de la verdad» [</w:t>
      </w:r>
      <w:r w:rsidRPr="00F759B3">
        <w:rPr>
          <w:rFonts w:cs="Times New Roman"/>
          <w:i/>
          <w:iCs/>
          <w:smallCaps/>
        </w:rPr>
        <w:t>nota</w:t>
      </w:r>
      <w:r w:rsidRPr="00F759B3">
        <w:rPr>
          <w:rFonts w:cs="Times New Roman"/>
          <w:bCs/>
          <w:i/>
        </w:rPr>
        <w:t xml:space="preserve"> 79: Ibíd.</w:t>
      </w:r>
      <w:r w:rsidRPr="00F759B3">
        <w:rPr>
          <w:rFonts w:cs="Times New Roman"/>
          <w:bCs/>
        </w:rPr>
        <w:t xml:space="preserve">, </w:t>
      </w:r>
      <w:r w:rsidRPr="00F759B3">
        <w:rPr>
          <w:rFonts w:cs="Times New Roman"/>
          <w:bCs/>
          <w:smallCaps/>
        </w:rPr>
        <w:t>iv</w:t>
      </w:r>
      <w:r w:rsidRPr="00F759B3">
        <w:rPr>
          <w:rFonts w:cs="Times New Roman"/>
          <w:bCs/>
        </w:rPr>
        <w:t xml:space="preserve">, 26,2]. Los herejes, explica, se apartan de la tradición común y </w:t>
      </w:r>
      <w:r w:rsidRPr="00F759B3">
        <w:rPr>
          <w:rFonts w:cs="Times New Roman"/>
          <w:bCs/>
          <w:i/>
          <w:iCs/>
        </w:rPr>
        <w:t>se reúnen sin la aprobación del obispo</w:t>
      </w:r>
      <w:r w:rsidRPr="00F759B3">
        <w:rPr>
          <w:rFonts w:cs="Times New Roman"/>
          <w:bCs/>
        </w:rPr>
        <w:t xml:space="preserve">: «Uno debe mirar con suspicacia a los otros que se apartan de la sucesión primitiva </w:t>
      </w:r>
      <w:r w:rsidRPr="00F759B3">
        <w:rPr>
          <w:rFonts w:cs="Times New Roman"/>
          <w:bCs/>
          <w:i/>
          <w:iCs/>
        </w:rPr>
        <w:t>y se reúnen en cualquier lugar</w:t>
      </w:r>
      <w:r w:rsidRPr="00F759B3">
        <w:rPr>
          <w:rFonts w:cs="Times New Roman"/>
          <w:bCs/>
        </w:rPr>
        <w:t>. A éstos uno debe reconocerlos como herejes… o como cismáticos… o como hipócritas. Todos éstos han caído de la verdad» [</w:t>
      </w:r>
      <w:r w:rsidRPr="00F759B3">
        <w:rPr>
          <w:rFonts w:cs="Times New Roman"/>
          <w:i/>
          <w:iCs/>
          <w:smallCaps/>
        </w:rPr>
        <w:t>nota</w:t>
      </w:r>
      <w:r w:rsidRPr="00F759B3">
        <w:rPr>
          <w:rFonts w:cs="Times New Roman"/>
          <w:bCs/>
          <w:i/>
        </w:rPr>
        <w:t xml:space="preserve"> 80: Ibíd.</w:t>
      </w:r>
      <w:r w:rsidRPr="00F759B3">
        <w:rPr>
          <w:rFonts w:cs="Times New Roman"/>
          <w:bCs/>
        </w:rPr>
        <w:t xml:space="preserve">, </w:t>
      </w:r>
      <w:r w:rsidRPr="00F759B3">
        <w:rPr>
          <w:rFonts w:cs="Times New Roman"/>
          <w:bCs/>
          <w:smallCaps/>
        </w:rPr>
        <w:t>iv</w:t>
      </w:r>
      <w:r w:rsidRPr="00F759B3">
        <w:rPr>
          <w:rFonts w:cs="Times New Roman"/>
          <w:bCs/>
        </w:rPr>
        <w:t>, 26,2].</w:t>
      </w:r>
    </w:p>
    <w:p w:rsidR="00534364" w:rsidRPr="00F759B3" w:rsidRDefault="00534364" w:rsidP="00534364">
      <w:pPr>
        <w:spacing w:after="0" w:line="240" w:lineRule="auto"/>
        <w:ind w:left="705"/>
        <w:jc w:val="both"/>
        <w:rPr>
          <w:rFonts w:cs="Times New Roman"/>
          <w:bCs/>
        </w:rPr>
      </w:pPr>
      <w:r w:rsidRPr="00F759B3">
        <w:rPr>
          <w:rFonts w:cs="Times New Roman"/>
          <w:bCs/>
        </w:rPr>
        <w:t>[…]</w:t>
      </w:r>
    </w:p>
    <w:p w:rsidR="00534364" w:rsidRPr="00F759B3" w:rsidRDefault="00534364" w:rsidP="00534364">
      <w:pPr>
        <w:spacing w:line="240" w:lineRule="auto"/>
        <w:ind w:left="705"/>
        <w:jc w:val="both"/>
        <w:rPr>
          <w:rFonts w:cs="Times New Roman"/>
          <w:bCs/>
        </w:rPr>
      </w:pPr>
      <w:r w:rsidRPr="00F759B3">
        <w:rPr>
          <w:rFonts w:cs="Times New Roman"/>
          <w:bCs/>
        </w:rPr>
        <w:t>¿No eran las convicciones políticas de Ireneo nada más que dogmas políticos disfrazados? O, por el contrario, ¿estaban sus ideas políticas subordinadas a sus creencias religiosas? Ambas interpretaciones simplifican excesivamente la situación. Las convicciones políticas y la posición de Ireneo –al igual que las de sus oponentes gnósticos</w:t>
      </w:r>
      <w:r w:rsidRPr="00F759B3">
        <w:rPr>
          <w:rFonts w:cs="Times New Roman"/>
          <w:bCs/>
          <w:lang w:val="es-ES_tradnl"/>
        </w:rPr>
        <w:t>–</w:t>
      </w:r>
      <w:r w:rsidRPr="00F759B3">
        <w:rPr>
          <w:rFonts w:cs="Times New Roman"/>
          <w:bCs/>
        </w:rPr>
        <w:t xml:space="preserve"> se influían recíprocamente. Por el hecho de que ciertos gnósticos se opusieran al desarrollo de una jerarquía eclesiástica no tenemos que reducir el gnosticismo a la condición de movimiento político surgido como reacción a tal desarrollo. Los seguidores de Valentín compartían una visión religiosa de la naturaleza de Dios que para ellos resultaba incompatible con el gobierno de sacerdotes y obispos que estaba apareciendo en la iglesia católica, por lo cual </w:t>
      </w:r>
      <w:r w:rsidRPr="00F759B3">
        <w:rPr>
          <w:rFonts w:cs="Times New Roman"/>
          <w:bCs/>
          <w:i/>
          <w:iCs/>
        </w:rPr>
        <w:t>opusieron resistencia al mismo</w:t>
      </w:r>
      <w:r w:rsidRPr="00F759B3">
        <w:rPr>
          <w:rFonts w:cs="Times New Roman"/>
          <w:bCs/>
        </w:rPr>
        <w:t>. A la inversa, las convicciones religiosas de Ireneo coincidían con la estructura de la iglesia a la que defendía.</w:t>
      </w:r>
    </w:p>
    <w:p w:rsidR="00534364" w:rsidRPr="00F759B3" w:rsidRDefault="00534364" w:rsidP="00534364">
      <w:pPr>
        <w:jc w:val="both"/>
        <w:rPr>
          <w:rFonts w:cs="Times New Roman"/>
          <w:bCs/>
        </w:rPr>
      </w:pPr>
      <w:r w:rsidRPr="00F759B3">
        <w:rPr>
          <w:rFonts w:cs="Times New Roman"/>
          <w:bCs/>
        </w:rPr>
        <w:t xml:space="preserve">Los Valentinianos no fueron los únicos ni los primeros en sostener que había otro modo de comprender y vivir el Evangelio de Jesús, los “herejes” fueron muchos y por varios siglos. Deberíamos empezar a darnos cuenta que los heterodoxos heretizados por la Iglesia oficial, en realidad, eran </w:t>
      </w:r>
      <w:r w:rsidRPr="00F759B3">
        <w:rPr>
          <w:rFonts w:cs="Times New Roman"/>
          <w:i/>
          <w:iCs/>
        </w:rPr>
        <w:t>los remanentes en resistencia de los “círculos conversacionales”</w:t>
      </w:r>
      <w:r w:rsidRPr="00F759B3">
        <w:rPr>
          <w:rFonts w:cs="Times New Roman"/>
          <w:bCs/>
        </w:rPr>
        <w:t xml:space="preserve"> de las “ekklesias” en las casas</w:t>
      </w:r>
      <w:r w:rsidRPr="00F759B3">
        <w:rPr>
          <w:rFonts w:cs="Times New Roman"/>
          <w:b/>
          <w:bCs/>
          <w:color w:val="FF0000"/>
          <w:vertAlign w:val="superscript"/>
        </w:rPr>
        <w:endnoteReference w:id="4"/>
      </w:r>
      <w:r w:rsidRPr="00F759B3">
        <w:rPr>
          <w:rFonts w:cs="Times New Roman"/>
          <w:bCs/>
        </w:rPr>
        <w:t xml:space="preserve"> y que, más allá de sus ideas, eran sus prácticas de autogestión circular, sus fraternidades soberanas, las que pertenecían al cristianismo originario de Jesús y estaban manteniendo la Tradición apostólica genuina. Es decir, que los “herejes” eran, en realidad, los inicialmente “ortodoxos” y </w:t>
      </w:r>
      <w:r w:rsidRPr="00F759B3">
        <w:rPr>
          <w:rFonts w:cs="Times New Roman"/>
          <w:bCs/>
          <w:i/>
        </w:rPr>
        <w:t>ortopráxicos</w:t>
      </w:r>
      <w:r w:rsidRPr="00F759B3">
        <w:rPr>
          <w:rFonts w:cs="Times New Roman"/>
          <w:bCs/>
        </w:rPr>
        <w:t>, ahora excomulgados por el “clero”, un verdadero “recién llegado” a la dinámica interna del cristianismo primitivo. El episcopado y su clero, manteniendo exclusivamente las asambleas de ciudad, habían comenzado a destruir las “ekklesias” que se reunían espontáneamente en los domicilios y que, siendo “círculos conversacionales”, mantenían los usos del consenso y de una autoridad realmente compartida, puntos en verdad originarios y que remontan hasta Jesús y las prácticas apostólicas iniciales</w:t>
      </w:r>
      <w:r w:rsidRPr="00F759B3">
        <w:rPr>
          <w:rFonts w:cs="Times New Roman"/>
          <w:b/>
          <w:color w:val="FF0000"/>
          <w:vertAlign w:val="superscript"/>
        </w:rPr>
        <w:endnoteReference w:id="5"/>
      </w:r>
      <w:r w:rsidRPr="00F759B3">
        <w:rPr>
          <w:rFonts w:cs="Times New Roman"/>
          <w:bCs/>
        </w:rPr>
        <w:t>. Ahora esto mismo era excomulgado, como sentencia el obispo Ireneo de Lyon:</w:t>
      </w:r>
    </w:p>
    <w:p w:rsidR="00534364" w:rsidRPr="00F759B3" w:rsidRDefault="00534364" w:rsidP="00534364">
      <w:pPr>
        <w:spacing w:line="240" w:lineRule="auto"/>
        <w:ind w:left="708"/>
        <w:jc w:val="both"/>
        <w:rPr>
          <w:rFonts w:cs="Times New Roman"/>
          <w:bCs/>
        </w:rPr>
      </w:pPr>
      <w:r w:rsidRPr="00F759B3">
        <w:rPr>
          <w:rFonts w:cs="Times New Roman"/>
          <w:bCs/>
        </w:rPr>
        <w:t xml:space="preserve">[…] y </w:t>
      </w:r>
      <w:r w:rsidRPr="00F759B3">
        <w:rPr>
          <w:rFonts w:cs="Times New Roman"/>
          <w:bCs/>
          <w:i/>
          <w:iCs/>
        </w:rPr>
        <w:t>se reúnen en cualquier lugar</w:t>
      </w:r>
      <w:r w:rsidRPr="00F759B3">
        <w:rPr>
          <w:rFonts w:cs="Times New Roman"/>
          <w:bCs/>
        </w:rPr>
        <w:t>. A éstos uno debe reconocerlos como herejes… o como cismáticos… o como hipócritas. Todos éstos han caído de la verdad. […] Que aquellas personas que blasfeman contra el Creador… como [hacen] los valentinianos y todos los falsamente llamados «gnósticos» sean reconocidas como agentes de Satanás por todos los que adoran a Dios. A través de ellas, Satanás ahora mismo… ha sido visto hablando contra Dios, ese Dios que ha preparado el fuego eterno para toda clase de apostasía</w:t>
      </w:r>
      <w:r w:rsidRPr="00F759B3">
        <w:rPr>
          <w:rFonts w:cs="Times New Roman"/>
          <w:b/>
          <w:color w:val="FF0000"/>
          <w:vertAlign w:val="superscript"/>
        </w:rPr>
        <w:endnoteReference w:id="6"/>
      </w:r>
      <w:r w:rsidRPr="00F759B3">
        <w:rPr>
          <w:rFonts w:cs="Times New Roman"/>
          <w:bCs/>
        </w:rPr>
        <w:t>.</w:t>
      </w:r>
    </w:p>
    <w:p w:rsidR="00534364" w:rsidRPr="00F759B3" w:rsidRDefault="00534364" w:rsidP="00534364">
      <w:pPr>
        <w:spacing w:after="120"/>
        <w:jc w:val="both"/>
        <w:rPr>
          <w:rFonts w:cs="Times New Roman"/>
          <w:bCs/>
        </w:rPr>
      </w:pPr>
      <w:r w:rsidRPr="00F759B3">
        <w:rPr>
          <w:rFonts w:cs="Times New Roman"/>
          <w:bCs/>
        </w:rPr>
        <w:t xml:space="preserve">El sínodo oriental frigio de Laodicea en el siglo </w:t>
      </w:r>
      <w:r w:rsidRPr="00F759B3">
        <w:rPr>
          <w:rFonts w:cs="Times New Roman"/>
          <w:bCs/>
          <w:smallCaps/>
        </w:rPr>
        <w:t>iv</w:t>
      </w:r>
      <w:r w:rsidRPr="00F759B3">
        <w:rPr>
          <w:rFonts w:cs="Times New Roman"/>
          <w:bCs/>
        </w:rPr>
        <w:t xml:space="preserve"> (363-364) prohibió, como norma general, celebrar la eucaristía doméstica: </w:t>
      </w:r>
      <w:r w:rsidRPr="00F759B3">
        <w:rPr>
          <w:rFonts w:cs="Times New Roman"/>
          <w:bCs/>
          <w:i/>
          <w:iCs/>
        </w:rPr>
        <w:t>«No debe ser hecha la Oblación por los obispos o presbíteros en ninguna de las casas particulares»</w:t>
      </w:r>
      <w:r w:rsidRPr="00F759B3">
        <w:rPr>
          <w:rFonts w:cs="Times New Roman"/>
          <w:bCs/>
        </w:rPr>
        <w:t xml:space="preserve"> (canon 58). Los sínodos de Gangra (338), en Oriente, y de Cartago (390), en África, prohíben las misas </w:t>
      </w:r>
      <w:r w:rsidRPr="00F759B3">
        <w:rPr>
          <w:rFonts w:cs="Times New Roman"/>
          <w:bCs/>
          <w:i/>
          <w:iCs/>
        </w:rPr>
        <w:t>«in privatis domibus, inconsulto episcopo»</w:t>
      </w:r>
      <w:r w:rsidRPr="00F759B3">
        <w:rPr>
          <w:rFonts w:cs="Times New Roman"/>
          <w:bCs/>
        </w:rPr>
        <w:t xml:space="preserve"> (en domicilios privados, sin consulta al obispo). Prohibición similar sentenció el sínodo asirio-persa de Seleucia-Ctesifonte (410): </w:t>
      </w:r>
      <w:r w:rsidRPr="00F759B3">
        <w:rPr>
          <w:rFonts w:cs="Times New Roman"/>
          <w:bCs/>
          <w:i/>
          <w:iCs/>
        </w:rPr>
        <w:t>«No se debe ofrecer la Eucaristía en las casas»</w:t>
      </w:r>
      <w:r w:rsidRPr="00F759B3">
        <w:rPr>
          <w:rFonts w:cs="Times New Roman"/>
          <w:bCs/>
        </w:rPr>
        <w:t>. Y la tendencia se generalizó a partir de esos momentos.</w:t>
      </w:r>
    </w:p>
    <w:p w:rsidR="00534364" w:rsidRPr="00F759B3" w:rsidRDefault="00534364" w:rsidP="00534364">
      <w:pPr>
        <w:spacing w:after="120"/>
        <w:jc w:val="both"/>
        <w:rPr>
          <w:rFonts w:cs="Times New Roman"/>
          <w:bCs/>
        </w:rPr>
      </w:pPr>
      <w:r w:rsidRPr="00F759B3">
        <w:rPr>
          <w:rFonts w:cs="Times New Roman"/>
          <w:bCs/>
        </w:rPr>
        <w:t>Es el mundo al revés. Porque aunque fueran errores las doctrinas y las éticas gnósticas –y no creo que todas ellas lo fueran–, sin duda no lo eran sus prácticas comunitarias contrarias a la clericalización. Al menos en este punto, los herejes han sido los más leales al Evangelio originario y la efectiva apostasía iba más bien de la mano del nuevo “clero”.</w:t>
      </w:r>
    </w:p>
    <w:p w:rsidR="00534364" w:rsidRPr="00F759B3" w:rsidRDefault="00534364" w:rsidP="00534364">
      <w:pPr>
        <w:spacing w:after="120"/>
        <w:jc w:val="both"/>
        <w:rPr>
          <w:rFonts w:cs="Times New Roman"/>
          <w:bCs/>
        </w:rPr>
      </w:pPr>
      <w:r w:rsidRPr="00F759B3">
        <w:rPr>
          <w:rFonts w:cs="Times New Roman"/>
          <w:bCs/>
        </w:rPr>
        <w:t>Ya hemos visto que los “obispos” fueron acumulando en una misma persona roles y oficios que en la primera etapa habían pertenecido a personas distintas e itinerantes. Durante los mil años de la edad media y hasta hoy, los “sacerdotes” católicos y ortodoxos –</w:t>
      </w:r>
      <w:r w:rsidRPr="00F759B3">
        <w:rPr>
          <w:rFonts w:cs="Times New Roman"/>
          <w:bCs/>
          <w:i/>
          <w:iCs/>
        </w:rPr>
        <w:t>presbíteros</w:t>
      </w:r>
      <w:r w:rsidRPr="00F759B3">
        <w:rPr>
          <w:rFonts w:cs="Times New Roman"/>
          <w:bCs/>
        </w:rPr>
        <w:t xml:space="preserve">– tenían diez tareas: predicar, administrar los sacramentos, hacer oraciones por la grey, llevar una vida piadosa, vivir con disciplina, dirigir los ritos de la Iglesia local, administrar la economía parroquial, hacer presencia en actos cívicos, visitar los hogares y velar por la asistencia social: apoyar a los pobres y visitar a los enfermos. Todo esto es lo que se resume en la expresión “cura de almas”. La palabra “cura”, proveniente del latín, indica “cuidado”. Cada una de esas tareas había sido originalmente un ministerio distinto, desempeñado por diversas personas y por la entera comunidad local. Desde el siglo </w:t>
      </w:r>
      <w:r w:rsidRPr="00F759B3">
        <w:rPr>
          <w:rFonts w:cs="Times New Roman"/>
          <w:bCs/>
          <w:smallCaps/>
        </w:rPr>
        <w:t>xvi</w:t>
      </w:r>
      <w:r w:rsidRPr="00F759B3">
        <w:rPr>
          <w:rFonts w:cs="Times New Roman"/>
          <w:bCs/>
        </w:rPr>
        <w:t xml:space="preserve"> y hasta el presente el “pastor” protestante asumió también todas y cada una de esas mismas responsabilidades. Debe advertirse que tanto “obispo monárquico”, como “sacerdote” y “pastor” corresponden a un fenómeno de </w:t>
      </w:r>
      <w:r w:rsidRPr="00F759B3">
        <w:rPr>
          <w:rFonts w:cs="Times New Roman"/>
          <w:bCs/>
          <w:i/>
          <w:iCs/>
        </w:rPr>
        <w:t>agenciamiento</w:t>
      </w:r>
      <w:r w:rsidRPr="00F759B3">
        <w:rPr>
          <w:rFonts w:cs="Times New Roman"/>
          <w:bCs/>
        </w:rPr>
        <w:t xml:space="preserve"> –en el sentido que ha sido descrito por Giorgio Agamben– en la medida que esos “ministerios” suponen la apropiación y acumulación de muy diversos roles que habían pertenecido al pueblo organizado y a los miembros múltiples de las comunidades cristianas de los orígenes. Un secuestro, lo mismo que ocurrió con la decisiva palabra “iglesia” pasando a ser sinónimo de “jerarquía” y “clero”, un sentido pervertido que sobrevive hasta hoy. La palabra “clero” en su etimología latina indica “separado”. Curiosamente, se trata del mismo significado que, en el hebreo, tenía la palabra “fariseo”… Y los fariseos habían sido unos de los principales antagonistas de Jesús, de acuerdo a todas las fuentes.</w:t>
      </w:r>
    </w:p>
    <w:p w:rsidR="00534364" w:rsidRPr="00F759B3" w:rsidRDefault="00534364" w:rsidP="00534364">
      <w:pPr>
        <w:jc w:val="both"/>
      </w:pPr>
    </w:p>
    <w:p w:rsidR="00534364" w:rsidRPr="00F759B3" w:rsidRDefault="00534364" w:rsidP="00534364">
      <w:pPr>
        <w:jc w:val="right"/>
        <w:rPr>
          <w:b/>
          <w:bCs/>
          <w:lang w:val="es-ES"/>
        </w:rPr>
      </w:pPr>
      <w:r w:rsidRPr="00F759B3">
        <w:rPr>
          <w:b/>
          <w:bCs/>
          <w:lang w:val="es-ES"/>
        </w:rPr>
        <w:t>CONTINÚA…</w:t>
      </w:r>
    </w:p>
    <w:p w:rsidR="00534364" w:rsidRPr="00F759B3" w:rsidRDefault="00534364" w:rsidP="00534364">
      <w:pPr>
        <w:jc w:val="both"/>
        <w:rPr>
          <w:lang w:val="es-ES"/>
        </w:rPr>
      </w:pPr>
    </w:p>
    <w:p w:rsidR="00C527B8" w:rsidRDefault="00C527B8">
      <w:bookmarkStart w:id="11" w:name="_GoBack"/>
      <w:bookmarkEnd w:id="11"/>
    </w:p>
    <w:sectPr w:rsidR="00C527B8" w:rsidSect="00F759B3">
      <w:endnotePr>
        <w:numFmt w:val="decimal"/>
      </w:endnotePr>
      <w:pgSz w:w="11907" w:h="16839" w:code="9"/>
      <w:pgMar w:top="851" w:right="851" w:bottom="1304" w:left="68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4364" w:rsidRDefault="00534364" w:rsidP="00534364">
      <w:pPr>
        <w:spacing w:after="0" w:line="240" w:lineRule="auto"/>
      </w:pPr>
      <w:r>
        <w:separator/>
      </w:r>
    </w:p>
  </w:endnote>
  <w:endnote w:type="continuationSeparator" w:id="0">
    <w:p w:rsidR="00534364" w:rsidRDefault="00534364" w:rsidP="00534364">
      <w:pPr>
        <w:spacing w:after="0" w:line="240" w:lineRule="auto"/>
      </w:pPr>
      <w:r>
        <w:continuationSeparator/>
      </w:r>
    </w:p>
  </w:endnote>
  <w:endnote w:id="1">
    <w:p w:rsidR="00534364" w:rsidRPr="005D7B78" w:rsidRDefault="00534364" w:rsidP="00534364">
      <w:pPr>
        <w:pStyle w:val="Textonotaalfinal"/>
        <w:spacing w:after="120" w:line="240" w:lineRule="auto"/>
        <w:jc w:val="both"/>
        <w:rPr>
          <w:sz w:val="18"/>
          <w:szCs w:val="18"/>
        </w:rPr>
      </w:pPr>
      <w:r w:rsidRPr="005D7B78">
        <w:rPr>
          <w:rStyle w:val="Refdenotaalfinal"/>
          <w:sz w:val="18"/>
          <w:szCs w:val="18"/>
        </w:rPr>
        <w:endnoteRef/>
      </w:r>
      <w:r w:rsidRPr="005D7B78">
        <w:rPr>
          <w:sz w:val="18"/>
          <w:szCs w:val="18"/>
        </w:rPr>
        <w:t xml:space="preserve"> </w:t>
      </w:r>
      <w:r>
        <w:rPr>
          <w:sz w:val="18"/>
          <w:szCs w:val="18"/>
        </w:rPr>
        <w:t>Pp</w:t>
      </w:r>
      <w:r w:rsidRPr="005D7B78">
        <w:rPr>
          <w:sz w:val="18"/>
          <w:szCs w:val="18"/>
        </w:rPr>
        <w:t>. 98-156. Lo puede hallar en la Red</w:t>
      </w:r>
      <w:r>
        <w:rPr>
          <w:sz w:val="18"/>
          <w:szCs w:val="18"/>
        </w:rPr>
        <w:t>; r</w:t>
      </w:r>
      <w:r w:rsidRPr="0095528E">
        <w:rPr>
          <w:sz w:val="18"/>
          <w:szCs w:val="18"/>
        </w:rPr>
        <w:t>ecuperado el 7 de diciembre de 2015</w:t>
      </w:r>
      <w:r>
        <w:rPr>
          <w:sz w:val="18"/>
          <w:szCs w:val="18"/>
        </w:rPr>
        <w:t xml:space="preserve"> desde</w:t>
      </w:r>
      <w:r w:rsidRPr="005D7B78">
        <w:rPr>
          <w:sz w:val="18"/>
          <w:szCs w:val="18"/>
        </w:rPr>
        <w:t xml:space="preserve"> </w:t>
      </w:r>
      <w:hyperlink r:id="rId1" w:history="1">
        <w:r w:rsidRPr="005D7B78">
          <w:rPr>
            <w:rStyle w:val="Hipervnculo"/>
            <w:sz w:val="16"/>
            <w:szCs w:val="16"/>
          </w:rPr>
          <w:t>http://www.servicioskoinonia.org/relat/201.htm</w:t>
        </w:r>
      </w:hyperlink>
    </w:p>
  </w:endnote>
  <w:endnote w:id="2">
    <w:p w:rsidR="00534364" w:rsidRPr="005D7B78" w:rsidRDefault="00534364" w:rsidP="00534364">
      <w:pPr>
        <w:pStyle w:val="Textonotaalfinal"/>
        <w:spacing w:after="120" w:line="240" w:lineRule="auto"/>
        <w:jc w:val="both"/>
        <w:rPr>
          <w:sz w:val="18"/>
          <w:szCs w:val="18"/>
        </w:rPr>
      </w:pPr>
      <w:r w:rsidRPr="005D7B78">
        <w:rPr>
          <w:rStyle w:val="Refdenotaalfinal"/>
          <w:sz w:val="18"/>
          <w:szCs w:val="18"/>
        </w:rPr>
        <w:endnoteRef/>
      </w:r>
      <w:r w:rsidRPr="005D7B78">
        <w:rPr>
          <w:sz w:val="18"/>
          <w:szCs w:val="18"/>
        </w:rPr>
        <w:t xml:space="preserve"> </w:t>
      </w:r>
      <w:r w:rsidRPr="005D7B78">
        <w:rPr>
          <w:bCs/>
          <w:sz w:val="18"/>
          <w:szCs w:val="18"/>
        </w:rPr>
        <w:t xml:space="preserve">Herbert Haag, </w:t>
      </w:r>
      <w:r w:rsidRPr="005D7B78">
        <w:rPr>
          <w:bCs/>
          <w:i/>
          <w:sz w:val="18"/>
          <w:szCs w:val="18"/>
        </w:rPr>
        <w:t>op. cit.</w:t>
      </w:r>
    </w:p>
  </w:endnote>
  <w:endnote w:id="3">
    <w:p w:rsidR="00534364" w:rsidRPr="005D7B78" w:rsidRDefault="00534364" w:rsidP="00534364">
      <w:pPr>
        <w:pStyle w:val="Textonotaalfinal"/>
        <w:spacing w:after="120" w:line="240" w:lineRule="auto"/>
        <w:jc w:val="both"/>
        <w:rPr>
          <w:sz w:val="18"/>
          <w:szCs w:val="18"/>
        </w:rPr>
      </w:pPr>
      <w:r w:rsidRPr="005D7B78">
        <w:rPr>
          <w:rStyle w:val="Refdenotaalfinal"/>
          <w:sz w:val="18"/>
          <w:szCs w:val="18"/>
        </w:rPr>
        <w:endnoteRef/>
      </w:r>
      <w:r w:rsidRPr="005D7B78">
        <w:rPr>
          <w:sz w:val="18"/>
          <w:szCs w:val="18"/>
        </w:rPr>
        <w:t xml:space="preserve"> </w:t>
      </w:r>
      <w:r w:rsidRPr="005D7B78">
        <w:rPr>
          <w:sz w:val="18"/>
          <w:szCs w:val="18"/>
        </w:rPr>
        <w:t>Pablo Richard,</w:t>
      </w:r>
      <w:r w:rsidRPr="005D7B78">
        <w:rPr>
          <w:b/>
          <w:bCs/>
          <w:sz w:val="18"/>
          <w:szCs w:val="18"/>
        </w:rPr>
        <w:t xml:space="preserve"> </w:t>
      </w:r>
      <w:r>
        <w:rPr>
          <w:b/>
          <w:bCs/>
          <w:sz w:val="18"/>
          <w:szCs w:val="18"/>
        </w:rPr>
        <w:t>“</w:t>
      </w:r>
      <w:r w:rsidRPr="005D7B78">
        <w:rPr>
          <w:sz w:val="18"/>
          <w:szCs w:val="18"/>
        </w:rPr>
        <w:t>Los orígenes del Cristianismo en Roma</w:t>
      </w:r>
      <w:r>
        <w:rPr>
          <w:sz w:val="18"/>
          <w:szCs w:val="18"/>
        </w:rPr>
        <w:t>”</w:t>
      </w:r>
      <w:r w:rsidRPr="005D7B78">
        <w:rPr>
          <w:sz w:val="18"/>
          <w:szCs w:val="18"/>
        </w:rPr>
        <w:t xml:space="preserve">. En: </w:t>
      </w:r>
      <w:r w:rsidRPr="005D7B78">
        <w:rPr>
          <w:i/>
          <w:iCs/>
          <w:sz w:val="18"/>
          <w:szCs w:val="18"/>
        </w:rPr>
        <w:t>Cristianismos originarios extrapalestinos (35-138 d.C.)</w:t>
      </w:r>
      <w:r w:rsidRPr="005D7B78">
        <w:rPr>
          <w:sz w:val="18"/>
          <w:szCs w:val="18"/>
        </w:rPr>
        <w:t xml:space="preserve">, Revista de Interpretación Bíblica Latinoamericana, número 29. Ver texto completo del artículo </w:t>
      </w:r>
      <w:r>
        <w:rPr>
          <w:sz w:val="18"/>
          <w:szCs w:val="18"/>
        </w:rPr>
        <w:t xml:space="preserve">recuperado el 7 de diciembre de 2015 desde </w:t>
      </w:r>
      <w:hyperlink r:id="rId2" w:history="1">
        <w:r w:rsidRPr="005D7B78">
          <w:rPr>
            <w:rStyle w:val="Hipervnculo"/>
            <w:sz w:val="16"/>
            <w:szCs w:val="16"/>
          </w:rPr>
          <w:t>http://www.claiweb.org/ribla/ribla29/los%20origines%20del%20cristianismo%20en%20Roma.html</w:t>
        </w:r>
      </w:hyperlink>
      <w:r w:rsidRPr="005D7B78">
        <w:rPr>
          <w:sz w:val="18"/>
          <w:szCs w:val="18"/>
        </w:rPr>
        <w:t xml:space="preserve"> </w:t>
      </w:r>
      <w:r>
        <w:rPr>
          <w:sz w:val="18"/>
          <w:szCs w:val="18"/>
        </w:rPr>
        <w:t>Cursivas son mía</w:t>
      </w:r>
      <w:r w:rsidRPr="005D7B78">
        <w:rPr>
          <w:sz w:val="18"/>
          <w:szCs w:val="18"/>
        </w:rPr>
        <w:t xml:space="preserve">s. Tanto el número 29 como el 22 de </w:t>
      </w:r>
      <w:r w:rsidRPr="005D7B78">
        <w:rPr>
          <w:smallCaps/>
          <w:sz w:val="18"/>
          <w:szCs w:val="18"/>
        </w:rPr>
        <w:t>ribla</w:t>
      </w:r>
      <w:r w:rsidRPr="005D7B78">
        <w:rPr>
          <w:sz w:val="18"/>
          <w:szCs w:val="18"/>
        </w:rPr>
        <w:t xml:space="preserve"> contienen numerosos artículos especializados que describen el proceso de los diversos “cristianismos” existentes en distintas regiones durante los siguientes cien años al hecho fundacional</w:t>
      </w:r>
      <w:r>
        <w:rPr>
          <w:sz w:val="18"/>
          <w:szCs w:val="18"/>
        </w:rPr>
        <w:t>.</w:t>
      </w:r>
    </w:p>
  </w:endnote>
  <w:endnote w:id="4">
    <w:p w:rsidR="00534364" w:rsidRPr="00D62FB3" w:rsidRDefault="00534364" w:rsidP="00534364">
      <w:pPr>
        <w:pStyle w:val="Textonotaalfinal"/>
        <w:spacing w:after="0" w:line="240" w:lineRule="auto"/>
        <w:jc w:val="both"/>
        <w:rPr>
          <w:bCs/>
          <w:sz w:val="18"/>
          <w:szCs w:val="18"/>
        </w:rPr>
      </w:pPr>
      <w:r w:rsidRPr="00D62FB3">
        <w:rPr>
          <w:rStyle w:val="Refdenotaalfinal"/>
          <w:sz w:val="18"/>
          <w:szCs w:val="18"/>
        </w:rPr>
        <w:endnoteRef/>
      </w:r>
      <w:r w:rsidRPr="00D62FB3">
        <w:rPr>
          <w:sz w:val="18"/>
          <w:szCs w:val="18"/>
        </w:rPr>
        <w:t xml:space="preserve"> </w:t>
      </w:r>
      <w:r w:rsidRPr="00D62FB3">
        <w:rPr>
          <w:bCs/>
          <w:sz w:val="18"/>
          <w:szCs w:val="18"/>
        </w:rPr>
        <w:t>“</w:t>
      </w:r>
      <w:r w:rsidRPr="00D62FB3">
        <w:rPr>
          <w:bCs/>
          <w:sz w:val="18"/>
          <w:szCs w:val="18"/>
        </w:rPr>
        <w:t xml:space="preserve">En general, los heresiarcas no creaban la herejía sino que se limitaban a organizar modos populares preexistentes y a defender determinadas tradiciones” (Diego Valenzuela, </w:t>
      </w:r>
      <w:r>
        <w:rPr>
          <w:bCs/>
          <w:i/>
          <w:sz w:val="18"/>
          <w:szCs w:val="18"/>
        </w:rPr>
        <w:t>Historia… o</w:t>
      </w:r>
      <w:r w:rsidRPr="00D62FB3">
        <w:rPr>
          <w:bCs/>
          <w:i/>
          <w:sz w:val="18"/>
          <w:szCs w:val="18"/>
        </w:rPr>
        <w:t>p.</w:t>
      </w:r>
      <w:r>
        <w:rPr>
          <w:bCs/>
          <w:i/>
          <w:sz w:val="18"/>
          <w:szCs w:val="18"/>
        </w:rPr>
        <w:t xml:space="preserve"> </w:t>
      </w:r>
      <w:r w:rsidRPr="00D62FB3">
        <w:rPr>
          <w:bCs/>
          <w:i/>
          <w:sz w:val="18"/>
          <w:szCs w:val="18"/>
        </w:rPr>
        <w:t>cit.</w:t>
      </w:r>
      <w:r w:rsidRPr="00D62FB3">
        <w:rPr>
          <w:bCs/>
          <w:sz w:val="18"/>
          <w:szCs w:val="18"/>
        </w:rPr>
        <w:t xml:space="preserve"> Parafrasea a Johnson).</w:t>
      </w:r>
    </w:p>
    <w:p w:rsidR="00534364" w:rsidRPr="00D62FB3" w:rsidRDefault="00534364" w:rsidP="00534364">
      <w:pPr>
        <w:pStyle w:val="Textonotaalfinal"/>
        <w:spacing w:after="0" w:line="240" w:lineRule="auto"/>
        <w:jc w:val="both"/>
        <w:rPr>
          <w:bCs/>
          <w:sz w:val="18"/>
          <w:szCs w:val="18"/>
        </w:rPr>
      </w:pPr>
      <w:r w:rsidRPr="00D62FB3">
        <w:rPr>
          <w:bCs/>
          <w:sz w:val="18"/>
          <w:szCs w:val="18"/>
        </w:rPr>
        <w:t xml:space="preserve">Para uno de los casos de herejía, por ejemplo, Paul Johnson afirma: “Muchas de las acusaciones formuladas sugieren sencillamente que los montanistas se comportaban como corresponde a la Iglesia, y de hecho </w:t>
      </w:r>
      <w:r w:rsidRPr="00D62FB3">
        <w:rPr>
          <w:bCs/>
          <w:i/>
          <w:sz w:val="18"/>
          <w:szCs w:val="18"/>
        </w:rPr>
        <w:t>eran</w:t>
      </w:r>
      <w:r w:rsidRPr="00D62FB3">
        <w:rPr>
          <w:bCs/>
          <w:sz w:val="18"/>
          <w:szCs w:val="18"/>
        </w:rPr>
        <w:t xml:space="preserve"> la Iglesia en grandes áreas –así, recaudaban dinero, pagaban a su clero y hacían otras cosas por el estilo. La mejor indicación del nivel moral del movimiento es que Tertuliano, el azote de los herejes, más tarde se le incorporó. No pudo continuar apoyando a una ortodoxia que negaba un papel independiente al Espíritu e insistía en que toda la comunicación con la deidad debía realizarse usando los canales eclesiásticos regulares. Tan profunda era su convicción de la realidad de la intervención espiritual directa que aceptó aspectos de la misma que hasta ese momento había considerado repulsivos; sobre todo después de presenciar su eficacia. Así, cuando ya era montanista, escribió en </w:t>
      </w:r>
      <w:r w:rsidRPr="00D62FB3">
        <w:rPr>
          <w:bCs/>
          <w:i/>
          <w:sz w:val="18"/>
          <w:szCs w:val="18"/>
        </w:rPr>
        <w:t>De anima</w:t>
      </w:r>
      <w:r w:rsidRPr="00D62FB3">
        <w:rPr>
          <w:bCs/>
          <w:sz w:val="18"/>
          <w:szCs w:val="18"/>
        </w:rPr>
        <w:t xml:space="preserve">, hacia el final de su vida: ‘Tenemos ahora entre nosotros a una hermana a quien son concedidos los dones de la revelación, y los experimenta en la iglesia durante los servicios dominicales, como una visión extática del Espíritu’. </w:t>
      </w:r>
      <w:r w:rsidRPr="007A0448">
        <w:rPr>
          <w:bCs/>
          <w:sz w:val="18"/>
          <w:szCs w:val="18"/>
          <w:lang w:val="es-ES_tradnl"/>
        </w:rPr>
        <w:t>[...]</w:t>
      </w:r>
      <w:r w:rsidRPr="00D62FB3">
        <w:rPr>
          <w:bCs/>
          <w:sz w:val="18"/>
          <w:szCs w:val="18"/>
        </w:rPr>
        <w:t xml:space="preserve">” (Paul Johnson, </w:t>
      </w:r>
      <w:r>
        <w:rPr>
          <w:bCs/>
          <w:i/>
          <w:sz w:val="18"/>
          <w:szCs w:val="18"/>
        </w:rPr>
        <w:t>o</w:t>
      </w:r>
      <w:r w:rsidRPr="00D62FB3">
        <w:rPr>
          <w:bCs/>
          <w:i/>
          <w:sz w:val="18"/>
          <w:szCs w:val="18"/>
        </w:rPr>
        <w:t>p. cit.</w:t>
      </w:r>
      <w:r w:rsidRPr="00D62FB3">
        <w:rPr>
          <w:bCs/>
          <w:sz w:val="18"/>
          <w:szCs w:val="18"/>
        </w:rPr>
        <w:t>, p. 65).</w:t>
      </w:r>
    </w:p>
    <w:p w:rsidR="00534364" w:rsidRPr="00D62FB3" w:rsidRDefault="00534364" w:rsidP="00534364">
      <w:pPr>
        <w:pStyle w:val="Textonotaalfinal"/>
        <w:spacing w:after="0" w:line="240" w:lineRule="auto"/>
        <w:jc w:val="both"/>
        <w:rPr>
          <w:bCs/>
          <w:sz w:val="18"/>
          <w:szCs w:val="18"/>
        </w:rPr>
      </w:pPr>
      <w:r w:rsidRPr="00D62FB3">
        <w:rPr>
          <w:bCs/>
          <w:sz w:val="18"/>
          <w:szCs w:val="18"/>
        </w:rPr>
        <w:t>A propósito de otro de los casos de herejía, los marcionitas –inventores del “canon”</w:t>
      </w:r>
      <w:r w:rsidRPr="00B5086C">
        <w:rPr>
          <w:bCs/>
          <w:sz w:val="18"/>
          <w:szCs w:val="18"/>
          <w:lang w:val="es-ES_tradnl"/>
        </w:rPr>
        <w:t>–</w:t>
      </w:r>
      <w:r w:rsidRPr="00D62FB3">
        <w:rPr>
          <w:bCs/>
          <w:sz w:val="18"/>
          <w:szCs w:val="18"/>
        </w:rPr>
        <w:t>, el mismo autor sostiene</w:t>
      </w:r>
      <w:r>
        <w:rPr>
          <w:bCs/>
          <w:sz w:val="18"/>
          <w:szCs w:val="18"/>
        </w:rPr>
        <w:t>, refiriéndose al “canon” reactivo de los ortodoxos</w:t>
      </w:r>
      <w:r w:rsidRPr="00D62FB3">
        <w:rPr>
          <w:bCs/>
          <w:sz w:val="18"/>
          <w:szCs w:val="18"/>
        </w:rPr>
        <w:t xml:space="preserve">: “La expansión del canon fue un arma contra la herejía. Toda la prueba disponible sugiere que estos heresiarcas no crearon las herejías: se limitaron a organizar modos populares preexistentes, o en algunos casos lucharon en defensa de tradiciones que estaban siendo pisoteadas por el avance de la ortodoxia.” (Paul Johnson, </w:t>
      </w:r>
      <w:r>
        <w:rPr>
          <w:bCs/>
          <w:i/>
          <w:sz w:val="18"/>
          <w:szCs w:val="18"/>
        </w:rPr>
        <w:t>o</w:t>
      </w:r>
      <w:r w:rsidRPr="00D62FB3">
        <w:rPr>
          <w:bCs/>
          <w:i/>
          <w:sz w:val="18"/>
          <w:szCs w:val="18"/>
        </w:rPr>
        <w:t>p. cit.</w:t>
      </w:r>
      <w:r w:rsidRPr="00D62FB3">
        <w:rPr>
          <w:bCs/>
          <w:sz w:val="18"/>
          <w:szCs w:val="18"/>
        </w:rPr>
        <w:t>, p. 71).</w:t>
      </w:r>
    </w:p>
    <w:p w:rsidR="00534364" w:rsidRPr="00D62FB3" w:rsidRDefault="00534364" w:rsidP="00534364">
      <w:pPr>
        <w:pStyle w:val="Textonotaalfinal"/>
        <w:spacing w:after="120" w:line="240" w:lineRule="auto"/>
        <w:jc w:val="both"/>
        <w:rPr>
          <w:sz w:val="18"/>
          <w:szCs w:val="18"/>
          <w:lang w:val="es-ES_tradnl"/>
        </w:rPr>
      </w:pPr>
      <w:r w:rsidRPr="00D62FB3">
        <w:rPr>
          <w:bCs/>
          <w:sz w:val="18"/>
          <w:szCs w:val="18"/>
        </w:rPr>
        <w:t xml:space="preserve">Al parecer, entre los católicos ortodoxos, la </w:t>
      </w:r>
      <w:r w:rsidRPr="00D62FB3">
        <w:rPr>
          <w:bCs/>
          <w:i/>
          <w:sz w:val="18"/>
          <w:szCs w:val="18"/>
        </w:rPr>
        <w:t>ekklesia</w:t>
      </w:r>
      <w:r w:rsidRPr="00D62FB3">
        <w:rPr>
          <w:bCs/>
          <w:sz w:val="18"/>
          <w:szCs w:val="18"/>
        </w:rPr>
        <w:t xml:space="preserve"> soberana y circular tuvo alguna pervivencia, en cierto modo, concentrándose exclusivamente en el colegio episcopal, que actuaba como un senado: “Por lo tanto, con Cipriano la libertad predicada por Pablo y basada en el poder de la verdad cristiana fue negada a los miembros comunes de la Iglesia; se conservó sólo en beneficio de los obispos, a través de quienes el Espíritu Santo aún actuaba, y que colectivamente representaban a la totalidad de los miembros de la Iglesia. Se les concedieron amplios poderes de actuación, sujetos siempre a la verdad tradicional y comprobada de la Iglesia y las escrituras. Había gobernantes, que actuaban e interpretaban una ley. Con el obispo Cipriano, la analogía con el gobierno secular llegó a ser muy estrecha.” (Paul Johnson, </w:t>
      </w:r>
      <w:r>
        <w:rPr>
          <w:bCs/>
          <w:i/>
          <w:sz w:val="18"/>
          <w:szCs w:val="18"/>
        </w:rPr>
        <w:t>o</w:t>
      </w:r>
      <w:r w:rsidRPr="00D62FB3">
        <w:rPr>
          <w:bCs/>
          <w:i/>
          <w:sz w:val="18"/>
          <w:szCs w:val="18"/>
        </w:rPr>
        <w:t>p. cit.</w:t>
      </w:r>
      <w:r w:rsidRPr="00D62FB3">
        <w:rPr>
          <w:bCs/>
          <w:sz w:val="18"/>
          <w:szCs w:val="18"/>
        </w:rPr>
        <w:t>, p. 77).</w:t>
      </w:r>
    </w:p>
  </w:endnote>
  <w:endnote w:id="5">
    <w:p w:rsidR="00534364" w:rsidRPr="00F16049" w:rsidRDefault="00534364" w:rsidP="00534364">
      <w:pPr>
        <w:pStyle w:val="Textonotaalfinal"/>
        <w:spacing w:after="0" w:line="240" w:lineRule="auto"/>
        <w:jc w:val="both"/>
        <w:rPr>
          <w:sz w:val="18"/>
          <w:szCs w:val="18"/>
        </w:rPr>
      </w:pPr>
      <w:r w:rsidRPr="00F16049">
        <w:rPr>
          <w:rStyle w:val="Refdenotaalfinal"/>
          <w:sz w:val="18"/>
          <w:szCs w:val="18"/>
        </w:rPr>
        <w:endnoteRef/>
      </w:r>
      <w:r w:rsidRPr="00F16049">
        <w:rPr>
          <w:sz w:val="18"/>
          <w:szCs w:val="18"/>
        </w:rPr>
        <w:t xml:space="preserve"> </w:t>
      </w:r>
      <w:r>
        <w:rPr>
          <w:sz w:val="18"/>
          <w:szCs w:val="18"/>
        </w:rPr>
        <w:t>“</w:t>
      </w:r>
      <w:r w:rsidRPr="007A0448">
        <w:rPr>
          <w:sz w:val="18"/>
          <w:szCs w:val="18"/>
          <w:lang w:val="es-ES_tradnl"/>
        </w:rPr>
        <w:t>[...]</w:t>
      </w:r>
      <w:r>
        <w:rPr>
          <w:sz w:val="18"/>
          <w:szCs w:val="18"/>
        </w:rPr>
        <w:t xml:space="preserve"> </w:t>
      </w:r>
      <w:r w:rsidRPr="00F16049">
        <w:rPr>
          <w:sz w:val="18"/>
          <w:szCs w:val="18"/>
        </w:rPr>
        <w:t xml:space="preserve">Durante su período ortodoxo Tertuliano había atacado a los herejes del tipo de los montanistas porque ‘asignan incluso al laicado las funciones del sacerdocio’. Ahora, </w:t>
      </w:r>
      <w:r>
        <w:rPr>
          <w:sz w:val="18"/>
          <w:szCs w:val="18"/>
        </w:rPr>
        <w:t>[</w:t>
      </w:r>
      <w:r w:rsidRPr="00F16049">
        <w:rPr>
          <w:sz w:val="18"/>
          <w:szCs w:val="18"/>
        </w:rPr>
        <w:t>…</w:t>
      </w:r>
      <w:r>
        <w:rPr>
          <w:sz w:val="18"/>
          <w:szCs w:val="18"/>
        </w:rPr>
        <w:t>]</w:t>
      </w:r>
      <w:r w:rsidRPr="00F16049">
        <w:rPr>
          <w:sz w:val="18"/>
          <w:szCs w:val="18"/>
        </w:rPr>
        <w:t xml:space="preserve">, se convirtió él mismo en montanista, y preguntó en </w:t>
      </w:r>
      <w:r w:rsidRPr="00F16049">
        <w:rPr>
          <w:i/>
          <w:sz w:val="18"/>
          <w:szCs w:val="18"/>
        </w:rPr>
        <w:t>De Exhortatione Castitatis</w:t>
      </w:r>
      <w:r w:rsidRPr="00F16049">
        <w:rPr>
          <w:sz w:val="18"/>
          <w:szCs w:val="18"/>
        </w:rPr>
        <w:t>:</w:t>
      </w:r>
    </w:p>
    <w:p w:rsidR="00534364" w:rsidRPr="00F16049" w:rsidRDefault="00534364" w:rsidP="00534364">
      <w:pPr>
        <w:pStyle w:val="Textonotaalfinal"/>
        <w:spacing w:after="0" w:line="240" w:lineRule="auto"/>
        <w:ind w:left="708"/>
        <w:jc w:val="both"/>
        <w:rPr>
          <w:sz w:val="18"/>
          <w:szCs w:val="18"/>
        </w:rPr>
      </w:pPr>
      <w:r w:rsidRPr="00F16049">
        <w:rPr>
          <w:sz w:val="18"/>
          <w:szCs w:val="18"/>
        </w:rPr>
        <w:t xml:space="preserve">‘¿Acaso no somos también nosotros sacerdotes laicos?… La diferencia entre el orden y el pueblo es imputable a la autoridad de la iglesia y a la consagración de su rango mediante la reserva de una rama especial para la orden. Pero donde no hay un banco de clérigos uno mismo ofrenda y bautiza y es su propio y único sacerdote. </w:t>
      </w:r>
      <w:r w:rsidRPr="005D7B78">
        <w:rPr>
          <w:i/>
          <w:iCs/>
          <w:sz w:val="18"/>
          <w:szCs w:val="18"/>
        </w:rPr>
        <w:t>Pues donde hay tres, hay una iglesia, aunque ellos sean laicos… uno tiene los derechos de un sacerdote en su propia persona cuando se manifiesta la necesidad</w:t>
      </w:r>
      <w:r w:rsidRPr="00F16049">
        <w:rPr>
          <w:sz w:val="18"/>
          <w:szCs w:val="18"/>
        </w:rPr>
        <w:t>’.</w:t>
      </w:r>
    </w:p>
    <w:p w:rsidR="00534364" w:rsidRPr="00F16049" w:rsidRDefault="00534364" w:rsidP="00534364">
      <w:pPr>
        <w:pStyle w:val="Textonotaalfinal"/>
        <w:spacing w:after="120" w:line="240" w:lineRule="auto"/>
        <w:jc w:val="both"/>
      </w:pPr>
      <w:r w:rsidRPr="00F16049">
        <w:rPr>
          <w:sz w:val="18"/>
          <w:szCs w:val="18"/>
        </w:rPr>
        <w:t xml:space="preserve">De modo que atacó a los obispos que exhibían lo que él denominó ‘blandura’ al perdonar a los pecaminosos y los caídos </w:t>
      </w:r>
      <w:r w:rsidRPr="00F16049">
        <w:rPr>
          <w:iCs/>
          <w:sz w:val="18"/>
          <w:szCs w:val="18"/>
        </w:rPr>
        <w:t>[</w:t>
      </w:r>
      <w:r w:rsidRPr="00F16049">
        <w:rPr>
          <w:i/>
          <w:sz w:val="18"/>
          <w:szCs w:val="18"/>
        </w:rPr>
        <w:t>en traición durante las persecuciones</w:t>
      </w:r>
      <w:r w:rsidRPr="00F16049">
        <w:rPr>
          <w:iCs/>
          <w:sz w:val="18"/>
          <w:szCs w:val="18"/>
        </w:rPr>
        <w:t>]</w:t>
      </w:r>
      <w:r w:rsidRPr="00F16049">
        <w:rPr>
          <w:sz w:val="18"/>
          <w:szCs w:val="18"/>
        </w:rPr>
        <w:t xml:space="preserve">. Apeló al ‘sacerdocio de todos los creyentes’ contra los derechos ‘usurpados’ de ciertos ocupantes de cargos, el ‘señorío’ antiespiritual, la ‘tiranía’ de los clérigos. Incluso una mujer, si hablaba con el espíritu, tenía más autoridad en este sentido que el más grande de los obispos. Él representaba un cargo vacío, ella es espíritu viviente. La división era clara, y era la división entre una Iglesia de santos, que se gobernaban a sí mismos, y una enorme turba de santos y pecadores que debían ser gobernados por un clero profesional. ¿Cómo podía conciliarse una Iglesia tal con la clara enseñanza de San Pablo? </w:t>
      </w:r>
      <w:r w:rsidRPr="007A0448">
        <w:rPr>
          <w:sz w:val="18"/>
          <w:szCs w:val="18"/>
          <w:lang w:val="es-ES_tradnl"/>
        </w:rPr>
        <w:t>[...]</w:t>
      </w:r>
      <w:r w:rsidRPr="00F16049">
        <w:rPr>
          <w:sz w:val="18"/>
          <w:szCs w:val="18"/>
        </w:rPr>
        <w:t xml:space="preserve">” (Paul Johnson, </w:t>
      </w:r>
      <w:r w:rsidRPr="00F16049">
        <w:rPr>
          <w:i/>
          <w:sz w:val="18"/>
          <w:szCs w:val="18"/>
        </w:rPr>
        <w:t>op. cit.</w:t>
      </w:r>
      <w:r w:rsidRPr="00F16049">
        <w:rPr>
          <w:sz w:val="18"/>
          <w:szCs w:val="18"/>
        </w:rPr>
        <w:t>, p. 99. Paréntesis recto</w:t>
      </w:r>
      <w:r>
        <w:rPr>
          <w:sz w:val="18"/>
          <w:szCs w:val="18"/>
        </w:rPr>
        <w:t>s</w:t>
      </w:r>
      <w:r w:rsidRPr="00F16049">
        <w:rPr>
          <w:sz w:val="18"/>
          <w:szCs w:val="18"/>
        </w:rPr>
        <w:t xml:space="preserve">  y </w:t>
      </w:r>
      <w:r>
        <w:rPr>
          <w:sz w:val="18"/>
          <w:szCs w:val="18"/>
        </w:rPr>
        <w:t>cursivas</w:t>
      </w:r>
      <w:r w:rsidRPr="00F16049">
        <w:rPr>
          <w:sz w:val="18"/>
          <w:szCs w:val="18"/>
        </w:rPr>
        <w:t xml:space="preserve"> son míos).</w:t>
      </w:r>
    </w:p>
  </w:endnote>
  <w:endnote w:id="6">
    <w:p w:rsidR="00534364" w:rsidRPr="005D7B78" w:rsidRDefault="00534364" w:rsidP="00534364">
      <w:pPr>
        <w:pStyle w:val="Textonotaalfinal"/>
        <w:spacing w:after="120" w:line="240" w:lineRule="auto"/>
        <w:jc w:val="both"/>
        <w:rPr>
          <w:sz w:val="18"/>
          <w:szCs w:val="18"/>
        </w:rPr>
      </w:pPr>
      <w:r w:rsidRPr="005D7B78">
        <w:rPr>
          <w:rStyle w:val="Refdenotaalfinal"/>
          <w:sz w:val="18"/>
          <w:szCs w:val="18"/>
        </w:rPr>
        <w:endnoteRef/>
      </w:r>
      <w:r w:rsidRPr="005D7B78">
        <w:rPr>
          <w:sz w:val="18"/>
          <w:szCs w:val="18"/>
        </w:rPr>
        <w:t xml:space="preserve"> </w:t>
      </w:r>
      <w:r w:rsidRPr="005D7B78">
        <w:rPr>
          <w:bCs/>
          <w:sz w:val="18"/>
          <w:szCs w:val="18"/>
        </w:rPr>
        <w:t xml:space="preserve">Ireneo, </w:t>
      </w:r>
      <w:r w:rsidRPr="005D7B78">
        <w:rPr>
          <w:bCs/>
          <w:i/>
          <w:sz w:val="18"/>
          <w:szCs w:val="18"/>
        </w:rPr>
        <w:t>Adversus haereses</w:t>
      </w:r>
      <w:r w:rsidRPr="005D7B78">
        <w:rPr>
          <w:bCs/>
          <w:sz w:val="18"/>
          <w:szCs w:val="18"/>
        </w:rPr>
        <w:t xml:space="preserve">, </w:t>
      </w:r>
      <w:r w:rsidRPr="006A52B2">
        <w:rPr>
          <w:bCs/>
          <w:smallCaps/>
          <w:sz w:val="18"/>
          <w:szCs w:val="18"/>
        </w:rPr>
        <w:t>iv</w:t>
      </w:r>
      <w:r w:rsidRPr="005D7B78">
        <w:rPr>
          <w:bCs/>
          <w:sz w:val="18"/>
          <w:szCs w:val="18"/>
        </w:rPr>
        <w:t xml:space="preserve">, 26,2 y </w:t>
      </w:r>
      <w:r w:rsidRPr="006A52B2">
        <w:rPr>
          <w:bCs/>
          <w:smallCaps/>
          <w:sz w:val="18"/>
          <w:szCs w:val="18"/>
        </w:rPr>
        <w:t>v</w:t>
      </w:r>
      <w:r w:rsidRPr="005D7B78">
        <w:rPr>
          <w:bCs/>
          <w:sz w:val="18"/>
          <w:szCs w:val="18"/>
        </w:rPr>
        <w:t>, 26,1</w:t>
      </w:r>
      <w:r>
        <w:rPr>
          <w:bCs/>
          <w:sz w:val="18"/>
          <w:szCs w:val="18"/>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Symbol">
    <w:panose1 w:val="00000000000000000000"/>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4364" w:rsidRDefault="00534364" w:rsidP="00534364">
      <w:pPr>
        <w:spacing w:after="0" w:line="240" w:lineRule="auto"/>
      </w:pPr>
      <w:r>
        <w:separator/>
      </w:r>
    </w:p>
  </w:footnote>
  <w:footnote w:type="continuationSeparator" w:id="0">
    <w:p w:rsidR="00534364" w:rsidRDefault="00534364" w:rsidP="00534364">
      <w:pPr>
        <w:spacing w:after="0" w:line="240" w:lineRule="auto"/>
      </w:pPr>
      <w:r>
        <w:continuationSeparator/>
      </w:r>
    </w:p>
  </w:footnote>
  <w:footnote w:id="1">
    <w:p w:rsidR="00534364" w:rsidRPr="002F13A2" w:rsidRDefault="00534364" w:rsidP="00534364">
      <w:pPr>
        <w:pStyle w:val="Textonotapie"/>
        <w:spacing w:after="120" w:line="240" w:lineRule="auto"/>
        <w:jc w:val="both"/>
        <w:rPr>
          <w:sz w:val="18"/>
          <w:szCs w:val="18"/>
          <w:lang w:val="es-ES"/>
        </w:rPr>
      </w:pPr>
      <w:r w:rsidRPr="002F13A2">
        <w:rPr>
          <w:rStyle w:val="Refdenotaalpie"/>
          <w:sz w:val="18"/>
          <w:szCs w:val="18"/>
        </w:rPr>
        <w:sym w:font="Symbol" w:char="F02A"/>
      </w:r>
      <w:r w:rsidRPr="002F13A2">
        <w:rPr>
          <w:sz w:val="18"/>
          <w:szCs w:val="18"/>
        </w:rPr>
        <w:t xml:space="preserve"> </w:t>
      </w:r>
      <w:r w:rsidRPr="002F13A2">
        <w:rPr>
          <w:sz w:val="18"/>
          <w:szCs w:val="18"/>
          <w:lang w:val="es-ES"/>
        </w:rPr>
        <w:t>Bachiller en Historia</w:t>
      </w:r>
      <w:r>
        <w:rPr>
          <w:sz w:val="18"/>
          <w:szCs w:val="18"/>
          <w:lang w:val="es-ES"/>
        </w:rPr>
        <w:t>,</w:t>
      </w:r>
      <w:r w:rsidRPr="002F13A2">
        <w:rPr>
          <w:sz w:val="18"/>
          <w:szCs w:val="18"/>
          <w:lang w:val="es-ES"/>
        </w:rPr>
        <w:t xml:space="preserve"> Profesor de Historia y Geografía, Universidad Católica de Valparaíso. Estudios universitarios </w:t>
      </w:r>
      <w:r>
        <w:rPr>
          <w:sz w:val="18"/>
          <w:szCs w:val="18"/>
          <w:lang w:val="es-ES"/>
        </w:rPr>
        <w:t>en</w:t>
      </w:r>
      <w:r w:rsidRPr="002F13A2">
        <w:rPr>
          <w:sz w:val="18"/>
          <w:szCs w:val="18"/>
          <w:lang w:val="es-ES"/>
        </w:rPr>
        <w:t xml:space="preserve"> Trabajo Social y Teología. </w:t>
      </w:r>
      <w:r>
        <w:rPr>
          <w:sz w:val="18"/>
          <w:szCs w:val="18"/>
          <w:lang w:val="es-ES"/>
        </w:rPr>
        <w:t>53 años de experiencia pastoral en comunidades de base.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savePreviewPicture/>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364"/>
    <w:rsid w:val="00517006"/>
    <w:rsid w:val="00534364"/>
    <w:rsid w:val="00C527B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4630B3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364"/>
    <w:pPr>
      <w:spacing w:after="200" w:line="276" w:lineRule="auto"/>
    </w:pPr>
    <w:rPr>
      <w:rFonts w:ascii="Calibri" w:eastAsia="Calibri" w:hAnsi="Calibri" w:cs="Arial"/>
      <w:sz w:val="22"/>
      <w:szCs w:val="22"/>
      <w:lang w:val="es-C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534364"/>
    <w:rPr>
      <w:rFonts w:cs="Times New Roman"/>
      <w:sz w:val="20"/>
      <w:szCs w:val="20"/>
    </w:rPr>
  </w:style>
  <w:style w:type="character" w:customStyle="1" w:styleId="TextonotapieCar">
    <w:name w:val="Texto nota pie Car"/>
    <w:basedOn w:val="Fuentedeprrafopredeter"/>
    <w:link w:val="Textonotapie"/>
    <w:uiPriority w:val="99"/>
    <w:semiHidden/>
    <w:rsid w:val="00534364"/>
    <w:rPr>
      <w:rFonts w:ascii="Calibri" w:eastAsia="Calibri" w:hAnsi="Calibri" w:cs="Times New Roman"/>
      <w:sz w:val="20"/>
      <w:szCs w:val="20"/>
      <w:lang w:val="es-CL" w:eastAsia="en-US"/>
    </w:rPr>
  </w:style>
  <w:style w:type="character" w:styleId="Refdenotaalpie">
    <w:name w:val="footnote reference"/>
    <w:basedOn w:val="Fuentedeprrafopredeter"/>
    <w:uiPriority w:val="99"/>
    <w:semiHidden/>
    <w:unhideWhenUsed/>
    <w:rsid w:val="00534364"/>
    <w:rPr>
      <w:vertAlign w:val="superscript"/>
    </w:rPr>
  </w:style>
  <w:style w:type="character" w:styleId="Hipervnculo">
    <w:name w:val="Hyperlink"/>
    <w:basedOn w:val="Fuentedeprrafopredeter"/>
    <w:uiPriority w:val="99"/>
    <w:unhideWhenUsed/>
    <w:rsid w:val="00534364"/>
    <w:rPr>
      <w:color w:val="0000FF"/>
      <w:u w:val="single"/>
    </w:rPr>
  </w:style>
  <w:style w:type="paragraph" w:styleId="Textonotaalfinal">
    <w:name w:val="endnote text"/>
    <w:basedOn w:val="Normal"/>
    <w:link w:val="TextonotaalfinalCar"/>
    <w:uiPriority w:val="99"/>
    <w:unhideWhenUsed/>
    <w:rsid w:val="00534364"/>
    <w:rPr>
      <w:rFonts w:cs="Times New Roman"/>
      <w:sz w:val="20"/>
      <w:szCs w:val="20"/>
    </w:rPr>
  </w:style>
  <w:style w:type="character" w:customStyle="1" w:styleId="TextonotaalfinalCar">
    <w:name w:val="Texto nota al final Car"/>
    <w:basedOn w:val="Fuentedeprrafopredeter"/>
    <w:link w:val="Textonotaalfinal"/>
    <w:uiPriority w:val="99"/>
    <w:rsid w:val="00534364"/>
    <w:rPr>
      <w:rFonts w:ascii="Calibri" w:eastAsia="Calibri" w:hAnsi="Calibri" w:cs="Times New Roman"/>
      <w:sz w:val="20"/>
      <w:szCs w:val="20"/>
      <w:lang w:val="es-CL" w:eastAsia="en-US"/>
    </w:rPr>
  </w:style>
  <w:style w:type="character" w:styleId="Refdenotaalfinal">
    <w:name w:val="endnote reference"/>
    <w:basedOn w:val="Fuentedeprrafopredeter"/>
    <w:uiPriority w:val="99"/>
    <w:semiHidden/>
    <w:unhideWhenUsed/>
    <w:rsid w:val="00534364"/>
    <w:rPr>
      <w:vertAlign w:val="superscript"/>
    </w:rPr>
  </w:style>
  <w:style w:type="paragraph" w:styleId="Textodeglobo">
    <w:name w:val="Balloon Text"/>
    <w:basedOn w:val="Normal"/>
    <w:link w:val="TextodegloboCar"/>
    <w:uiPriority w:val="99"/>
    <w:semiHidden/>
    <w:unhideWhenUsed/>
    <w:rsid w:val="00534364"/>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34364"/>
    <w:rPr>
      <w:rFonts w:ascii="Lucida Grande" w:eastAsia="Calibri" w:hAnsi="Lucida Grande" w:cs="Lucida Grande"/>
      <w:sz w:val="18"/>
      <w:szCs w:val="18"/>
      <w:lang w:val="es-CL"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364"/>
    <w:pPr>
      <w:spacing w:after="200" w:line="276" w:lineRule="auto"/>
    </w:pPr>
    <w:rPr>
      <w:rFonts w:ascii="Calibri" w:eastAsia="Calibri" w:hAnsi="Calibri" w:cs="Arial"/>
      <w:sz w:val="22"/>
      <w:szCs w:val="22"/>
      <w:lang w:val="es-C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534364"/>
    <w:rPr>
      <w:rFonts w:cs="Times New Roman"/>
      <w:sz w:val="20"/>
      <w:szCs w:val="20"/>
    </w:rPr>
  </w:style>
  <w:style w:type="character" w:customStyle="1" w:styleId="TextonotapieCar">
    <w:name w:val="Texto nota pie Car"/>
    <w:basedOn w:val="Fuentedeprrafopredeter"/>
    <w:link w:val="Textonotapie"/>
    <w:uiPriority w:val="99"/>
    <w:semiHidden/>
    <w:rsid w:val="00534364"/>
    <w:rPr>
      <w:rFonts w:ascii="Calibri" w:eastAsia="Calibri" w:hAnsi="Calibri" w:cs="Times New Roman"/>
      <w:sz w:val="20"/>
      <w:szCs w:val="20"/>
      <w:lang w:val="es-CL" w:eastAsia="en-US"/>
    </w:rPr>
  </w:style>
  <w:style w:type="character" w:styleId="Refdenotaalpie">
    <w:name w:val="footnote reference"/>
    <w:basedOn w:val="Fuentedeprrafopredeter"/>
    <w:uiPriority w:val="99"/>
    <w:semiHidden/>
    <w:unhideWhenUsed/>
    <w:rsid w:val="00534364"/>
    <w:rPr>
      <w:vertAlign w:val="superscript"/>
    </w:rPr>
  </w:style>
  <w:style w:type="character" w:styleId="Hipervnculo">
    <w:name w:val="Hyperlink"/>
    <w:basedOn w:val="Fuentedeprrafopredeter"/>
    <w:uiPriority w:val="99"/>
    <w:unhideWhenUsed/>
    <w:rsid w:val="00534364"/>
    <w:rPr>
      <w:color w:val="0000FF"/>
      <w:u w:val="single"/>
    </w:rPr>
  </w:style>
  <w:style w:type="paragraph" w:styleId="Textonotaalfinal">
    <w:name w:val="endnote text"/>
    <w:basedOn w:val="Normal"/>
    <w:link w:val="TextonotaalfinalCar"/>
    <w:uiPriority w:val="99"/>
    <w:unhideWhenUsed/>
    <w:rsid w:val="00534364"/>
    <w:rPr>
      <w:rFonts w:cs="Times New Roman"/>
      <w:sz w:val="20"/>
      <w:szCs w:val="20"/>
    </w:rPr>
  </w:style>
  <w:style w:type="character" w:customStyle="1" w:styleId="TextonotaalfinalCar">
    <w:name w:val="Texto nota al final Car"/>
    <w:basedOn w:val="Fuentedeprrafopredeter"/>
    <w:link w:val="Textonotaalfinal"/>
    <w:uiPriority w:val="99"/>
    <w:rsid w:val="00534364"/>
    <w:rPr>
      <w:rFonts w:ascii="Calibri" w:eastAsia="Calibri" w:hAnsi="Calibri" w:cs="Times New Roman"/>
      <w:sz w:val="20"/>
      <w:szCs w:val="20"/>
      <w:lang w:val="es-CL" w:eastAsia="en-US"/>
    </w:rPr>
  </w:style>
  <w:style w:type="character" w:styleId="Refdenotaalfinal">
    <w:name w:val="endnote reference"/>
    <w:basedOn w:val="Fuentedeprrafopredeter"/>
    <w:uiPriority w:val="99"/>
    <w:semiHidden/>
    <w:unhideWhenUsed/>
    <w:rsid w:val="00534364"/>
    <w:rPr>
      <w:vertAlign w:val="superscript"/>
    </w:rPr>
  </w:style>
  <w:style w:type="paragraph" w:styleId="Textodeglobo">
    <w:name w:val="Balloon Text"/>
    <w:basedOn w:val="Normal"/>
    <w:link w:val="TextodegloboCar"/>
    <w:uiPriority w:val="99"/>
    <w:semiHidden/>
    <w:unhideWhenUsed/>
    <w:rsid w:val="00534364"/>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34364"/>
    <w:rPr>
      <w:rFonts w:ascii="Lucida Grande" w:eastAsia="Calibri" w:hAnsi="Lucida Grande" w:cs="Lucida Grande"/>
      <w:sz w:val="18"/>
      <w:szCs w:val="18"/>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endnotes.xml.rels><?xml version="1.0" encoding="UTF-8" standalone="yes"?>
<Relationships xmlns="http://schemas.openxmlformats.org/package/2006/relationships"><Relationship Id="rId1" Type="http://schemas.openxmlformats.org/officeDocument/2006/relationships/hyperlink" Target="http://www.servicioskoinonia.org/relat/201.htm" TargetMode="External"/><Relationship Id="rId2" Type="http://schemas.openxmlformats.org/officeDocument/2006/relationships/hyperlink" Target="http://www.claiweb.org/ribla/ribla29/los%20origines%20del%20cristianismo%20en%20Rom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5847</Words>
  <Characters>32161</Characters>
  <Application>Microsoft Macintosh Word</Application>
  <DocSecurity>0</DocSecurity>
  <Lines>268</Lines>
  <Paragraphs>75</Paragraphs>
  <ScaleCrop>false</ScaleCrop>
  <Company/>
  <LinksUpToDate>false</LinksUpToDate>
  <CharactersWithSpaces>37933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 A. Pérez Sayago</dc:creator>
  <cp:keywords/>
  <dc:description/>
  <cp:lastModifiedBy>Oscar A. Pérez Sayago</cp:lastModifiedBy>
  <cp:revision>1</cp:revision>
  <dcterms:created xsi:type="dcterms:W3CDTF">2015-12-14T13:57:00Z</dcterms:created>
  <dcterms:modified xsi:type="dcterms:W3CDTF">2015-12-14T13:58:00Z</dcterms:modified>
</cp:coreProperties>
</file>