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61" w:rsidRDefault="00085661" w:rsidP="00CA3626">
      <w:pPr>
        <w:jc w:val="both"/>
        <w:rPr>
          <w:rFonts w:ascii="Times New Roman" w:hAnsi="Times New Roman"/>
          <w:b/>
          <w:sz w:val="24"/>
          <w:szCs w:val="24"/>
        </w:rPr>
      </w:pPr>
      <w:r>
        <w:rPr>
          <w:rFonts w:ascii="Times New Roman" w:hAnsi="Times New Roman"/>
          <w:b/>
          <w:sz w:val="24"/>
          <w:szCs w:val="24"/>
        </w:rPr>
        <w:t>Dossier: La guerra del petróleo durante 2015</w:t>
      </w:r>
    </w:p>
    <w:p w:rsidR="00EC0A82" w:rsidRPr="00F95F7C" w:rsidRDefault="00EC0A82" w:rsidP="00CA3626">
      <w:pPr>
        <w:jc w:val="both"/>
        <w:rPr>
          <w:rFonts w:ascii="Times New Roman" w:hAnsi="Times New Roman"/>
          <w:b/>
          <w:sz w:val="24"/>
          <w:szCs w:val="24"/>
        </w:rPr>
      </w:pPr>
      <w:r w:rsidRPr="00F95F7C">
        <w:rPr>
          <w:rFonts w:ascii="Times New Roman" w:hAnsi="Times New Roman"/>
          <w:b/>
          <w:sz w:val="24"/>
          <w:szCs w:val="24"/>
        </w:rPr>
        <w:t>Petróleo Brent baja a menos de US$ 50 y arrastra al euro a mínimos en nueve años</w:t>
      </w:r>
    </w:p>
    <w:p w:rsidR="00EC0A82" w:rsidRPr="00F95F7C" w:rsidRDefault="00085661" w:rsidP="00CA3626">
      <w:pPr>
        <w:jc w:val="both"/>
        <w:rPr>
          <w:rFonts w:ascii="Times New Roman" w:hAnsi="Times New Roman"/>
          <w:sz w:val="24"/>
          <w:szCs w:val="24"/>
        </w:rPr>
      </w:pPr>
      <w:hyperlink r:id="rId8" w:history="1">
        <w:r w:rsidRPr="00AA33BE">
          <w:rPr>
            <w:rStyle w:val="Hipervnculo"/>
            <w:rFonts w:ascii="Times New Roman" w:hAnsi="Times New Roman"/>
            <w:sz w:val="24"/>
            <w:szCs w:val="24"/>
          </w:rPr>
          <w:t>www.df.cl</w:t>
        </w:r>
      </w:hyperlink>
      <w:r>
        <w:rPr>
          <w:rFonts w:ascii="Times New Roman" w:hAnsi="Times New Roman"/>
          <w:sz w:val="24"/>
          <w:szCs w:val="24"/>
        </w:rPr>
        <w:t xml:space="preserve">, </w:t>
      </w:r>
      <w:r w:rsidR="00EC0A82" w:rsidRPr="00F95F7C">
        <w:rPr>
          <w:rFonts w:ascii="Times New Roman" w:hAnsi="Times New Roman"/>
          <w:sz w:val="24"/>
          <w:szCs w:val="24"/>
        </w:rPr>
        <w:t>Isabel Ramos Jeldres, 8 de enero de 2015</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El precio del petróleo no ha puesto freno a su desplome. Tras caer 48% el año pasado, el valor del Brent ha retrocedido 11% en lo que va de 2015, y ayer se ubicó por debajo de la barrera de los US$ 50 por primera vez desde 2009.</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La creciente oferta de shale gas desde EEUU, la debilidad de la demanda asiática y europea y la fortaleza del dólar están presionando el crudo a la baja. Ayer el Brent cerró en US$ 49,27. Una caída por debajo de US$ 40 el barril "no está descartada", dijo a Bloomberg Rob Haworth, estratega de inversión senior de Bank Wealth Management.</w:t>
      </w:r>
    </w:p>
    <w:p w:rsidR="00EC0A82" w:rsidRPr="00085661" w:rsidRDefault="00EC0A82" w:rsidP="00CA3626">
      <w:pPr>
        <w:jc w:val="both"/>
        <w:rPr>
          <w:rFonts w:ascii="Times New Roman" w:hAnsi="Times New Roman"/>
          <w:b/>
          <w:sz w:val="24"/>
          <w:szCs w:val="24"/>
        </w:rPr>
      </w:pPr>
      <w:r w:rsidRPr="00085661">
        <w:rPr>
          <w:rFonts w:ascii="Times New Roman" w:hAnsi="Times New Roman"/>
          <w:b/>
          <w:sz w:val="24"/>
          <w:szCs w:val="24"/>
        </w:rPr>
        <w:t>Acciones de las principales petroleras globales caen hasta 20%</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Si el precio baja de US$ 39 el barril, podríamos verlo descender hasta US$ 30, aseguró Walter Zimmerman, estratega técnico jefe de United-ICAP. "Dónde los precios se detendrán, se basará en una decisión emocional (...) no en fundamentos de oferta-demanda", lo que garantiza que la caída continuará, afirmó.</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El mayor ganador si el petróleo baja a US$ 40 el barril será Filipinas, cuyo crecimiento se aceleraría a 7,6% en promedio en los próximos dos años, mientras que Rusia se contraería 2,5% en el mismo período, mostró un análisis de Oxford Economics a 45 economías, incluido Chile. En el escenario base, nuestro país crecería 3,6% en promedio en 2015-2016, pero esa cifra podría subir a 4,5% si el crudo baja a US$ 40.</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Este nivel es cada vez más probable. Ayer Bank of America Merrill Lynch dijo en un informe que ve un creciente riesgo de que el petróleo WTI y el Brent caigan a US$ 35 y US$ 40 por barril, respectivamente, en el corto plazo, lo que forzaría un recorte de la producción.</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Los riesgos, coinciden los analistas, son a la baja. "Los productores de esquisto (en EEUU) no comenzarán a sentir la presión por otros seis meses. Además, existe la posibilidad de más aumentos de suministro de miembros de la OPEP (...) como Libia, Nigeria y Venezuela, que podría presionar aún más a la baja a los precios", escribió ANZ Bank en un reporte.</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La Administración de Información de Energía de EEUU informó ayer que los inventarios de gasolina y destilados del país subieron la semana pasada, lo que compensó la inesperada caída en las existencias de crudo. Por esto, el reporte será negativo para los precios, dijeron analistas a Reuters.</w:t>
      </w:r>
    </w:p>
    <w:p w:rsidR="00EC0A82" w:rsidRPr="00085661" w:rsidRDefault="00EC0A82" w:rsidP="00CA3626">
      <w:pPr>
        <w:jc w:val="both"/>
        <w:rPr>
          <w:rFonts w:ascii="Times New Roman" w:hAnsi="Times New Roman"/>
          <w:b/>
          <w:sz w:val="24"/>
          <w:szCs w:val="24"/>
        </w:rPr>
      </w:pPr>
      <w:r w:rsidRPr="00085661">
        <w:rPr>
          <w:rFonts w:ascii="Times New Roman" w:hAnsi="Times New Roman"/>
          <w:b/>
          <w:sz w:val="24"/>
          <w:szCs w:val="24"/>
        </w:rPr>
        <w:t>IPC negativo en Europa</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El desplome del precio del petróleo aumentó las presiones deflacionarias en la zona euro. El índice de precios al consumidor cayó 0,2% en diciembre, respecto del mismo mes del año anterior, informó ayer la oficina de estadísticas del bloque, Eurostat, registrando su primer nivel negativo en más de cinco años.</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lastRenderedPageBreak/>
        <w:t>El informe se dio a conocer el mismo día que las autoridades del Banco Central Europeo tienen su primera reunión del año, dando más argumentos al presidente del BCE, Mario Draghi, para iniciar una compra de bonos del gobierno sin precedentes para revivir el crecimiento y la inflación.</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Los banqueros centrales están trabajando en un plan para comprar deuda soberana para evitar una espiral deflacionaria. "Hola deflación", dijo a Bloomberg el economista jefe de Berenberg Bank, Holger Schmieding. "Incluso si no compartimos los temores generalizados sobre las peligrosas dinámicas deflacionarias", el BCE está a kilómetros de su meta de alza de precios de casi 2%, aseguró.</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La caída del petróleo y la tensión en Grecia hicieron que el euro bajara a su menor nivel en nueve años, de US$ 1,1802, sumando una caída de 2,4% en el año a la fecha. La debilidad de la economía de la zona euro y la fortaleza creciente de los datos macroeconómicos de EEUU está poniendo presión a la baja sobre el euro y al alza sobre el dólar. La caída del petróleo suma presiones alcistas a la moneda estadounidense, golpeando a su vez al euro. Pero esto podría también ser positivo, ya que ayuda a mejorar la competitividad de los exportadores, especialmente Alemania, el motor de la región.</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El BCE sostendrá su próxima reunión de política monetaria el 22 de enero, y tras el dato del IPC, los analistas reforzaron sus apuestas a que el banco central anunciará este mismo mes la puesta en marcha de la compra de deuda soberana.</w:t>
      </w:r>
    </w:p>
    <w:p w:rsidR="00EC0A82" w:rsidRPr="00F95F7C" w:rsidRDefault="00EC0A82" w:rsidP="00CA3626">
      <w:pPr>
        <w:jc w:val="both"/>
        <w:rPr>
          <w:rFonts w:ascii="Times New Roman" w:hAnsi="Times New Roman"/>
          <w:sz w:val="24"/>
          <w:szCs w:val="24"/>
        </w:rPr>
      </w:pPr>
      <w:r w:rsidRPr="00F95F7C">
        <w:rPr>
          <w:rFonts w:ascii="Times New Roman" w:hAnsi="Times New Roman"/>
          <w:sz w:val="24"/>
          <w:szCs w:val="24"/>
        </w:rPr>
        <w:t>La Comisión Europea negó ayer que la eurozona esté en deflación, pero reconoció que el bajo nivel de precios continuará a "corto plazo" y que la inflación sólo remontará cuando la recuperación se consolide y los salarios empiecen a aumentar.</w:t>
      </w:r>
    </w:p>
    <w:p w:rsidR="008C7D1B" w:rsidRDefault="00617C51" w:rsidP="00CA3626">
      <w:pPr>
        <w:jc w:val="both"/>
        <w:rPr>
          <w:rFonts w:ascii="Times New Roman" w:hAnsi="Times New Roman"/>
          <w:b/>
          <w:sz w:val="24"/>
          <w:szCs w:val="24"/>
        </w:rPr>
      </w:pPr>
      <w:r w:rsidRPr="00F95F7C">
        <w:rPr>
          <w:rFonts w:ascii="Times New Roman" w:hAnsi="Times New Roman"/>
          <w:b/>
          <w:sz w:val="24"/>
          <w:szCs w:val="24"/>
        </w:rPr>
        <w:t xml:space="preserve">Caída del precio del petróleo: fundamentos, impacto y perspectivas </w:t>
      </w:r>
    </w:p>
    <w:p w:rsidR="00617C51" w:rsidRPr="00F95F7C" w:rsidRDefault="00617C51" w:rsidP="00CA3626">
      <w:pPr>
        <w:jc w:val="both"/>
        <w:rPr>
          <w:rFonts w:ascii="Times New Roman" w:hAnsi="Times New Roman"/>
          <w:b/>
          <w:sz w:val="24"/>
          <w:szCs w:val="24"/>
        </w:rPr>
      </w:pPr>
      <w:r w:rsidRPr="00F95F7C">
        <w:rPr>
          <w:rFonts w:ascii="Times New Roman" w:hAnsi="Times New Roman"/>
          <w:b/>
          <w:sz w:val="24"/>
          <w:szCs w:val="24"/>
        </w:rPr>
        <w:t>(IPOM B. central de Chile, diciembre 2014)</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 xml:space="preserve">Entre el 2011 y mediados del 2014, el precio promedio del barril de petróleo (WTI y Brent) fluctuó en torno a los US$ 100. A partir de julio de este año tuvo un importante descenso, llegando a cotizarse por debajo de US$65 al cierre estadístico de este IPoM. La caída ha estado principalmente asociada a factores de oferta, aunque la menor demanda también ha contribuido a un balance superavitario en el mercado, el que se espera se prolongará el 2015.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De este modo, las diversas estimaciones de mercado —recogidas por los contratos futuros, los bancos de inversión y agencias internacionales y gubernamentales especializadas— han corregido las perspectivas de precios a dos años plazo. Este artículo revisa los antecedentes que sustentan estas proyecciones y señala los efectos que se pueden derivar de los movimientos de precio del crudo sobre el panorama macroeconómico.</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 xml:space="preserve">Durante los últimos años, el precio del petróleo se había sustentado por niveles de producción mundial que estaban creciendo a un ritmo similar a la demanda esperada. Sin embargo, desde mediados del 2014, se han conjugado perspectivas de menor demanda con un aumento de la oferta.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lastRenderedPageBreak/>
        <w:t xml:space="preserve">Por el lado de la demanda, diversas agencias fueron revisando a la baja sus perspectivas durante el año. Así, los bancos de inversión (considerando entre otros, Goldman Sachs, Deutsche Bank, Barclays, JP Morgan y Morgan Stanley), la Agencia Internacional de Energía, la Agencia de Información de Energía de EE.UU. y la propia OPEP han reducido sus estimaciones de consumo mundial para el 2014 y 2015, ubicándolas por debajo del nivel de producción global. Especialmente relevantes han sido las revisiones en Europa y Asia, que tienen una alta participación en el consumo mundial.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Por el lado de la oferta, destaca que, si bien la producción de crudo ha crecido a un ritmo constante en los últimos años, desde el 2012 se ha caracterizado por una mayor producción en EE.UU. El resto de los oferentes, en particular de los países OPEP —que representa 39% de la oferta mundial de crudo—, han mantenido sus niveles de producción.</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El aumento de la producción de EE.UU. ha sido reflejo de las inversiones que se realizaron y las nuevas tecnologías que se aplicaron cuando el precio del barril de crudo se mantuvo en torno a los US$100, fenómeno que duró por varios años. Como resultado, el escenario ha ido cambiando paulatinamente respecto de quiénes son actores relevantes en el mercado. El aporte de EE.UU. a la producción mundial ha ido subiendo, desde 6% en el 2010 a 9% en el 2014, alcanzando una participación similar a la de otros grandes productores, como Rusia y Arabia Saudita. Además, la economía estadounidense ha reducido su grado de dependencia a los mercados externos, en particular, ha disminuido las importaciones desde los países de la OPEP, situación que se ha intensificado desde mediados del 2014. En este contexto, Arabia Saudita e Irak redujeron los precios de exportación a EE.UU. para no perder participación en ese mercado y en su reunión de noviembre, la OPEP no recortó las cuotas de producción.</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 xml:space="preserve">Todo lo anterior se ha traducido en importantes caídas del precio spot y futuro del petróleo en los últimos meses. Lo mismo ha sucedido con las expectativas de los agentes. A mediados del 2014, distintas fuentes de información de mercado estimaban un valor del crudo en torno a US$100 el barril para el 2015 y algo menor para el 2016. A partir de julio, estas proyecciones se fueron revisando a la baja, con recortes de hasta US$30 el barril para ese período. De todos modos, estas proyecciones están sujetas a un alto grado de incertidumbre, pues algunos análisis no descartan la posibilidad de que el valor del barril siga retrocediendo, ubicándose en torno a US$40 en el corto plazo. Considerando el precio implícito en los contratos futuros de los últimos cinco días hábiles, en el escenario base del IPoM el precio del barril promedia cerca de US$67 y US$71 el 2015 y 2016, respectivamente.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 xml:space="preserve">Otros análisis dudan de la sostenibilidad en el tiempo de los bajos precios actuales. Por un lado, los ingresos fiscales de los países exportadores de petróleo se han resentido, incluso varios de ellos muestran una situación fiscal deficitaria, resaltando importantes productores como Rusia y Venezuela. Además, a estos precios es muy posible que se posterguen inversiones planeadas, tanto en países de la OPEP como fuera de ella, lo que puede llevar a una revisión a la baja en las proyecciones de oferta de mediano plazo. Arabia Saudita puede compensar esto, aunque por un tiempo limitado. Finalmente, las tensiones geopolíticas en Medio Oriente agregan un factor de incertidumbre.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lastRenderedPageBreak/>
        <w:t xml:space="preserve">A ello se suma que a más largo plazo las perspectivas de precios de los agentes se han mantenido en torno a US$85 el barril en el horizonte de mediano plazo. Las estimaciones de mercado, entre ellas, la Agencia de Información de Energía de EE.UU. y los bancos de inversión, suponen una recuperación gradual de la demanda mundial a fines del 2015, la que contribuiría a equilibrar el balance de mercado hacia el 2016. Si bien la producción en EE.UU. seguiría explicando gran parte del crecimiento de la oferta de crudo en este período, se iría reduciendo posterior al 2017. Ello, a cambio de una mayor contribución de los países de la OPEP, debido a las elevadas reservas que posee (80% del crudo en el mundo). En particular, por Arabia Saudita, que tiene la mayor capacidad para subir los niveles de producción.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 xml:space="preserve">El menor precio del petróleo tiene efectos relevantes en las perspectivas de actividad e inflación. Un descenso del precio del petróleo implica menores costos para los hogares y empresas, aumentado su ingreso disponible y dando un impulso a la actividad y demanda para el grueso de la economía mundial que es importadora neta de crudo. </w:t>
      </w:r>
    </w:p>
    <w:p w:rsidR="00617C51" w:rsidRPr="00F95F7C" w:rsidRDefault="00617C51" w:rsidP="00CA3626">
      <w:pPr>
        <w:jc w:val="both"/>
        <w:rPr>
          <w:rFonts w:ascii="Times New Roman" w:hAnsi="Times New Roman"/>
          <w:sz w:val="24"/>
          <w:szCs w:val="24"/>
        </w:rPr>
      </w:pPr>
      <w:r w:rsidRPr="00F95F7C">
        <w:rPr>
          <w:rFonts w:ascii="Times New Roman" w:hAnsi="Times New Roman"/>
          <w:sz w:val="24"/>
          <w:szCs w:val="24"/>
        </w:rPr>
        <w:t>Las estimaciones sobre el impacto de un menor precio del petróleo en la actividad mundial tienen un amplio rango de valores. Por ejemplo, Goldman Sachs indica que una caída permanente de 20% del precio del petróleo aumenta en 0,5 puntos porcentuales (pp) el crecimiento global en el primer año. El IIF (2014) y JP Morgan (2014b) consideran que una reducción de 25% del valor del crudo sube en 0,4pp el crecimiento mundial. Además, se debe considerar los efectos no son comparables entre economías y dependen de forma importante de si se es un exportador o importador neto de petróleo. Las estimaciones del FMI (2014c) señalan que una reducción de 30% del precio del petróleo incrementa en 0,8pp el crecimiento en las economías desarrolladas.</w:t>
      </w:r>
    </w:p>
    <w:p w:rsidR="003F1696" w:rsidRPr="00F95F7C" w:rsidRDefault="003F1696" w:rsidP="00CA3626">
      <w:pPr>
        <w:jc w:val="both"/>
        <w:rPr>
          <w:rFonts w:ascii="Times New Roman" w:hAnsi="Times New Roman"/>
          <w:b/>
          <w:sz w:val="24"/>
          <w:szCs w:val="24"/>
        </w:rPr>
      </w:pPr>
      <w:r w:rsidRPr="00F95F7C">
        <w:rPr>
          <w:rFonts w:ascii="Times New Roman" w:hAnsi="Times New Roman"/>
          <w:b/>
          <w:sz w:val="24"/>
          <w:szCs w:val="24"/>
        </w:rPr>
        <w:t>Se abre el grifo petrolero en el ártico</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 xml:space="preserve">Gerardo Honty, </w:t>
      </w:r>
      <w:hyperlink r:id="rId9" w:history="1">
        <w:r w:rsidRPr="00F95F7C">
          <w:rPr>
            <w:rStyle w:val="Hipervnculo"/>
            <w:rFonts w:ascii="Times New Roman" w:hAnsi="Times New Roman"/>
            <w:sz w:val="24"/>
            <w:szCs w:val="24"/>
          </w:rPr>
          <w:t>www.alainet.org/es/articulo/169670</w:t>
        </w:r>
      </w:hyperlink>
      <w:r w:rsidRPr="00F95F7C">
        <w:rPr>
          <w:rFonts w:ascii="Times New Roman" w:hAnsi="Times New Roman"/>
          <w:sz w:val="24"/>
          <w:szCs w:val="24"/>
        </w:rPr>
        <w:t>, 18/05/2015</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El Departamento del Interior de Estados Unidos aprobó el pasado lunes 11 de mayo el plan de Shell para la explotación de petróleo en el mar de Chukchi, frente a las costas de Alaska. Es una decisión que parece ir en contra de la política climática y ambiental que el gobierno de Estados Unidos ha dicho promover, y resulta un duro mensaje al mundo en general en el año en que se espera alcanzar un acuerdo climático.</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La explotación de las reservas en el Océano Ártico tiene el potencial de liberar un adicional de 15,8 mil millones de toneladas de CO2 a la atmósfera (equivalente a las emisiones de todos los automóviles de Estados Unidos durante 13 años) y el aumento de las concentraciones globales de CO2 en 7,44 partes por millón</w:t>
      </w:r>
      <w:r w:rsidR="008C7D1B">
        <w:rPr>
          <w:rStyle w:val="Refdenotaalpie"/>
          <w:rFonts w:ascii="Times New Roman" w:hAnsi="Times New Roman"/>
          <w:sz w:val="24"/>
          <w:szCs w:val="24"/>
        </w:rPr>
        <w:footnoteReference w:id="2"/>
      </w:r>
      <w:r w:rsidRPr="00F95F7C">
        <w:rPr>
          <w:rFonts w:ascii="Times New Roman" w:hAnsi="Times New Roman"/>
          <w:sz w:val="24"/>
          <w:szCs w:val="24"/>
        </w:rPr>
        <w:t>.</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 xml:space="preserve">La Secretaria Ejecutiva de la Convención de Cambio Climático, Christiana Figueres dijo que no haría comentarios sobre los detalles de la decisión de Estados Unidos. Pero, hablando en general, dijo que el gasto de enormes sumas para extraer combustibles fósiles de entornos remotos - lo que ella denomina "inversiones de carbono de alto costo" - es una propuesta arriesgada. "Hay una creciente cantidad de análisis que apunta al hecho de que </w:t>
      </w:r>
      <w:r w:rsidRPr="00F95F7C">
        <w:rPr>
          <w:rFonts w:ascii="Times New Roman" w:hAnsi="Times New Roman"/>
          <w:sz w:val="24"/>
          <w:szCs w:val="24"/>
        </w:rPr>
        <w:lastRenderedPageBreak/>
        <w:t>tenemos que mantener la gran mayoría de los combu</w:t>
      </w:r>
      <w:r w:rsidR="008C7D1B">
        <w:rPr>
          <w:rFonts w:ascii="Times New Roman" w:hAnsi="Times New Roman"/>
          <w:sz w:val="24"/>
          <w:szCs w:val="24"/>
        </w:rPr>
        <w:t>stibles fósiles bajo tierra"</w:t>
      </w:r>
      <w:r w:rsidR="008C7D1B">
        <w:rPr>
          <w:rStyle w:val="Refdenotaalpie"/>
          <w:rFonts w:ascii="Times New Roman" w:hAnsi="Times New Roman"/>
          <w:sz w:val="24"/>
          <w:szCs w:val="24"/>
        </w:rPr>
        <w:footnoteReference w:id="3"/>
      </w:r>
      <w:r w:rsidRPr="00F95F7C">
        <w:rPr>
          <w:rFonts w:ascii="Times New Roman" w:hAnsi="Times New Roman"/>
          <w:sz w:val="24"/>
          <w:szCs w:val="24"/>
        </w:rPr>
        <w:t>. Y agregó: "Uno tiene que cuestionar la prudencia de seguir adelante c</w:t>
      </w:r>
      <w:r w:rsidR="008C7D1B">
        <w:rPr>
          <w:rFonts w:ascii="Times New Roman" w:hAnsi="Times New Roman"/>
          <w:sz w:val="24"/>
          <w:szCs w:val="24"/>
        </w:rPr>
        <w:t>on este tipo de inversiones"</w:t>
      </w:r>
      <w:r w:rsidR="008C7D1B">
        <w:rPr>
          <w:rStyle w:val="Refdenotaalpie"/>
          <w:rFonts w:ascii="Times New Roman" w:hAnsi="Times New Roman"/>
          <w:sz w:val="24"/>
          <w:szCs w:val="24"/>
        </w:rPr>
        <w:footnoteReference w:id="4"/>
      </w:r>
      <w:r w:rsidRPr="00F95F7C">
        <w:rPr>
          <w:rFonts w:ascii="Times New Roman" w:hAnsi="Times New Roman"/>
          <w:sz w:val="24"/>
          <w:szCs w:val="24"/>
        </w:rPr>
        <w:t>.</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Pero para Shell, mantener el petróleo bajo tierra es imposible. Ben van Beurden, el presidente ejecutivo Shell, dijo al Washington Post que el petróleo y el gas seguirán siendo necesarios, incluso si la energía solar y eólica expanda a tasas espectaculares. "Uno podría decir, 'no te preocupes, todo va a ser suministrado por fuentes renovables' pero eso es una fantasía. Si nos fijamos en el escenario más optimista, el 75 por ciento de que la demanda de energía hacia la mitad de este siglo, viene de fuentes fósiles".</w:t>
      </w:r>
    </w:p>
    <w:p w:rsidR="003F1696" w:rsidRPr="008C7D1B" w:rsidRDefault="003F1696" w:rsidP="00CA3626">
      <w:pPr>
        <w:jc w:val="both"/>
        <w:rPr>
          <w:rFonts w:ascii="Times New Roman" w:hAnsi="Times New Roman"/>
          <w:b/>
          <w:sz w:val="24"/>
          <w:szCs w:val="24"/>
        </w:rPr>
      </w:pPr>
      <w:r w:rsidRPr="008C7D1B">
        <w:rPr>
          <w:rFonts w:ascii="Times New Roman" w:hAnsi="Times New Roman"/>
          <w:b/>
          <w:sz w:val="24"/>
          <w:szCs w:val="24"/>
        </w:rPr>
        <w:t>El Ártico</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Se estima que la región contiene un 20% del petróleo y gas natural no descubiertos en el mundo (23.6 mil millones de barriles de petróleo y 104.41 billones de pies cúbicos de gas) y la compañía espera iniciar la perforación a mediados de año.</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Pero el mar de Chukchi es un lugar difícil y peligroso para perforar. La zona es extremadamente remota, a cientos de kilómetros de cualquier ciudad o puerto de aguas profundas, en medio de un mar a temperaturas extremas y olas de 20 pies, lo que hace compleja una acción rápida en caso de un accidente. El desastre de la plataforma Deepwater Horizon de BP ocurrido en abril de 2010, que ya ha costado más de 14 mil millones de dólares en tareas de limpieza que aún no terminan, parece no haber servido de escarmiento.</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Y la probabilidad de que un accidente ocurra es bastante alta. Según la propia oficina federal estadounidense encargada de evaluar los riesgos del proyecto de Shell, hay un 75% de posibilidades de que ocurra un derrame mayor</w:t>
      </w:r>
      <w:r w:rsidR="008C7D1B">
        <w:rPr>
          <w:rFonts w:ascii="Times New Roman" w:hAnsi="Times New Roman"/>
          <w:sz w:val="24"/>
          <w:szCs w:val="24"/>
        </w:rPr>
        <w:t xml:space="preserve"> a 1000 barriles de petróleo</w:t>
      </w:r>
      <w:r w:rsidR="008C7D1B">
        <w:rPr>
          <w:rStyle w:val="Refdenotaalpie"/>
          <w:rFonts w:ascii="Times New Roman" w:hAnsi="Times New Roman"/>
          <w:sz w:val="24"/>
          <w:szCs w:val="24"/>
        </w:rPr>
        <w:footnoteReference w:id="5"/>
      </w:r>
      <w:r w:rsidRPr="00F95F7C">
        <w:rPr>
          <w:rFonts w:ascii="Times New Roman" w:hAnsi="Times New Roman"/>
          <w:sz w:val="24"/>
          <w:szCs w:val="24"/>
        </w:rPr>
        <w:t>.</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Los antecedentes de Shell no son buenos en la zona. En 2012 la empresa se vio obligada a evacuar su plataforma Kulluk, luego de encallar cerca de la isla Sitkalidak, en Alaska. El mismo año, el Noble Discoverer -uno de los barcos de perforación que Shell planea volver usar ahora- tuvo que responder por varios delitos y violaciones de seguridad y ambientales que lo llevaron a pagar mu</w:t>
      </w:r>
      <w:r w:rsidR="008C7D1B">
        <w:rPr>
          <w:rFonts w:ascii="Times New Roman" w:hAnsi="Times New Roman"/>
          <w:sz w:val="24"/>
          <w:szCs w:val="24"/>
        </w:rPr>
        <w:t>ltas por 8 millones de euros</w:t>
      </w:r>
      <w:r w:rsidR="008C7D1B">
        <w:rPr>
          <w:rStyle w:val="Refdenotaalpie"/>
          <w:rFonts w:ascii="Times New Roman" w:hAnsi="Times New Roman"/>
          <w:sz w:val="24"/>
          <w:szCs w:val="24"/>
        </w:rPr>
        <w:footnoteReference w:id="6"/>
      </w:r>
      <w:r w:rsidRPr="00F95F7C">
        <w:rPr>
          <w:rFonts w:ascii="Times New Roman" w:hAnsi="Times New Roman"/>
          <w:sz w:val="24"/>
          <w:szCs w:val="24"/>
        </w:rPr>
        <w:t>.</w:t>
      </w:r>
    </w:p>
    <w:p w:rsidR="003F1696" w:rsidRPr="008C7D1B" w:rsidRDefault="003F1696" w:rsidP="00CA3626">
      <w:pPr>
        <w:jc w:val="both"/>
        <w:rPr>
          <w:rFonts w:ascii="Times New Roman" w:hAnsi="Times New Roman"/>
          <w:b/>
          <w:sz w:val="24"/>
          <w:szCs w:val="24"/>
        </w:rPr>
      </w:pPr>
      <w:r w:rsidRPr="008C7D1B">
        <w:rPr>
          <w:rFonts w:ascii="Times New Roman" w:hAnsi="Times New Roman"/>
          <w:b/>
          <w:sz w:val="24"/>
          <w:szCs w:val="24"/>
        </w:rPr>
        <w:t>¿Por qué ahora?</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 xml:space="preserve">El precio del petróleo viene cayendo desde hace un año (más de un 50% desde junio del año pasado) y la explotación en áreas de difícil acceso como las arenas bituminosas de Alberta, sitios de aguas profundas de Brasil y pozos costa afuera en el Ártico, es demasiado costosa. Entre marzo de 2013 y marzo de 2014 las 127 empresas petroleras más relevantes </w:t>
      </w:r>
      <w:r w:rsidRPr="00F95F7C">
        <w:rPr>
          <w:rFonts w:ascii="Times New Roman" w:hAnsi="Times New Roman"/>
          <w:sz w:val="24"/>
          <w:szCs w:val="24"/>
        </w:rPr>
        <w:lastRenderedPageBreak/>
        <w:t xml:space="preserve">a nivel mundial habían sumado ventas por USD 568 mil millones (MM) pero habían gastado USD 677 MM. La diferencia de USD 110 MM fue cubierta aumentando el endeudamiento (USD 106 MM) y venta de activos (USD 73MM) de manera de asegurar </w:t>
      </w:r>
      <w:r w:rsidR="008C7D1B">
        <w:rPr>
          <w:rFonts w:ascii="Times New Roman" w:hAnsi="Times New Roman"/>
          <w:sz w:val="24"/>
          <w:szCs w:val="24"/>
        </w:rPr>
        <w:t>dividendos a los accionistas</w:t>
      </w:r>
      <w:r w:rsidR="008C7D1B">
        <w:rPr>
          <w:rStyle w:val="Refdenotaalpie"/>
          <w:rFonts w:ascii="Times New Roman" w:hAnsi="Times New Roman"/>
          <w:sz w:val="24"/>
          <w:szCs w:val="24"/>
        </w:rPr>
        <w:footnoteReference w:id="7"/>
      </w:r>
      <w:r w:rsidRPr="00F95F7C">
        <w:rPr>
          <w:rFonts w:ascii="Times New Roman" w:hAnsi="Times New Roman"/>
          <w:sz w:val="24"/>
          <w:szCs w:val="24"/>
        </w:rPr>
        <w:t>.</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En los últimos 4 años las compañías productoras de petróleo no convencional en Estados Unidos han presentado pérdidas por USD 21 MM aún en tiempos en que el promedio de precios fue de U</w:t>
      </w:r>
      <w:r w:rsidR="008C7D1B">
        <w:rPr>
          <w:rFonts w:ascii="Times New Roman" w:hAnsi="Times New Roman"/>
          <w:sz w:val="24"/>
          <w:szCs w:val="24"/>
        </w:rPr>
        <w:t>SD 95 por barril de petróleo</w:t>
      </w:r>
      <w:r w:rsidR="008C7D1B">
        <w:rPr>
          <w:rStyle w:val="Refdenotaalpie"/>
          <w:rFonts w:ascii="Times New Roman" w:hAnsi="Times New Roman"/>
          <w:sz w:val="24"/>
          <w:szCs w:val="24"/>
        </w:rPr>
        <w:footnoteReference w:id="8"/>
      </w:r>
      <w:r w:rsidRPr="00F95F7C">
        <w:rPr>
          <w:rFonts w:ascii="Times New Roman" w:hAnsi="Times New Roman"/>
          <w:sz w:val="24"/>
          <w:szCs w:val="24"/>
        </w:rPr>
        <w:t>.</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Es un panorama que parecería bastante desalentador para la industria, pero Shell ya lleva gastados USD 6 mil millones en el Ártico y apuesta al aumento de la demanda y a la suba de los precios. Ann Pickard, vice presidente de la empresa en el Ártico, lo ha explicado de esta manera: "Aunque el precio del petróleo se ha desplomado desde agosto pasado, Shell no cree que los precios se mantendrán bajos en el largo plazo. La producción de los campos existentes está cayendo a una tasa promedio del 5 por ciento al año por lo que la necesidad de una nueva oferta podría ser de hasta cinco millones de barriles al día por lo menos hasta 2030. Tenemos que planificar con mucha antelación y los recursos del Ártico son fundamenta</w:t>
      </w:r>
      <w:r w:rsidR="008C7D1B">
        <w:rPr>
          <w:rFonts w:ascii="Times New Roman" w:hAnsi="Times New Roman"/>
          <w:sz w:val="24"/>
          <w:szCs w:val="24"/>
        </w:rPr>
        <w:t>les para esta planificación"</w:t>
      </w:r>
      <w:r w:rsidR="008C7D1B">
        <w:rPr>
          <w:rStyle w:val="Refdenotaalpie"/>
          <w:rFonts w:ascii="Times New Roman" w:hAnsi="Times New Roman"/>
          <w:sz w:val="24"/>
          <w:szCs w:val="24"/>
        </w:rPr>
        <w:footnoteReference w:id="9"/>
      </w:r>
      <w:r w:rsidRPr="00F95F7C">
        <w:rPr>
          <w:rFonts w:ascii="Times New Roman" w:hAnsi="Times New Roman"/>
          <w:sz w:val="24"/>
          <w:szCs w:val="24"/>
        </w:rPr>
        <w:t>.</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Shell, al igual que todas las empresas del petróleo, se enfrentan al problema del "pico" del petróleo convencional y la necesidad de abrir nuevas fronteras no convencionales a pesar del riesgo que eso implica. La producción de las 5 mayores petroleras mundiales (BP, Exxon, Chevron, Shell y Total) ha caído casi un 30% en los últimos 10 años (h</w:t>
      </w:r>
      <w:r w:rsidR="008C7D1B">
        <w:rPr>
          <w:rFonts w:ascii="Times New Roman" w:hAnsi="Times New Roman"/>
          <w:sz w:val="24"/>
          <w:szCs w:val="24"/>
        </w:rPr>
        <w:t>oy producen menos de 8 Mb/d).</w:t>
      </w:r>
      <w:r w:rsidR="008C7D1B">
        <w:rPr>
          <w:rStyle w:val="Refdenotaalpie"/>
          <w:rFonts w:ascii="Times New Roman" w:hAnsi="Times New Roman"/>
          <w:sz w:val="24"/>
          <w:szCs w:val="24"/>
        </w:rPr>
        <w:footnoteReference w:id="10"/>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Impacto en la negociación climática</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La autorización por parte del gobierno de Estados Unidos a la empresa Shell para explotar el petróleo del Ártico parece irracional. Va en contra de la política climática del propio gobierno y pone en alto riesgo uno de sus ecosistemas más frágiles en una explotación que a priori va a dar pérdidas. El supuesto que parece haber detrás de la decisión es que el mundo va a continuar aumentando su consumo de petróleo, a un precio de al menos el doble del actual y más allá de las certezas del descalabro climático.</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t>Esta es una señal que no va a pasar inadvertida entre los delegados que se reunirán dentro de dos semanas en Bonn a debatir un acuerdo climático global. Este diciembre se espera alcanzar un nuevo protocolo en el marco de la Convención de Cambio Climático de Naciones Unidas, y esta intersesional que se llevará a cabo del 1 al 11 de junio en la ciudad alemana, es clave para identificar los avances en las negociaciones.</w:t>
      </w:r>
    </w:p>
    <w:p w:rsidR="003F1696" w:rsidRPr="00F95F7C" w:rsidRDefault="003F1696" w:rsidP="00CA3626">
      <w:pPr>
        <w:jc w:val="both"/>
        <w:rPr>
          <w:rFonts w:ascii="Times New Roman" w:hAnsi="Times New Roman"/>
          <w:sz w:val="24"/>
          <w:szCs w:val="24"/>
        </w:rPr>
      </w:pPr>
      <w:r w:rsidRPr="00F95F7C">
        <w:rPr>
          <w:rFonts w:ascii="Times New Roman" w:hAnsi="Times New Roman"/>
          <w:sz w:val="24"/>
          <w:szCs w:val="24"/>
        </w:rPr>
        <w:lastRenderedPageBreak/>
        <w:t>La decisión de Obama le quita credibilidad (si es que alguna le quedaba) a las intenciones del gobierno de Estados Unidos de alcanzar un acuerdo global y vinculante que evite un aumento de la temperatura global del planeta más allá de los 2°C. Si las expectativas eran bajas, este nuevo escenario parece llevarlas al nivel del subsuelo.</w:t>
      </w:r>
    </w:p>
    <w:p w:rsidR="00A375BE" w:rsidRPr="000D206B" w:rsidRDefault="00A375BE" w:rsidP="00CA3626">
      <w:pPr>
        <w:shd w:val="clear" w:color="auto" w:fill="FFFBF0"/>
        <w:spacing w:after="400"/>
        <w:jc w:val="both"/>
        <w:rPr>
          <w:rFonts w:ascii="Times New Roman" w:eastAsia="Times New Roman" w:hAnsi="Times New Roman"/>
          <w:b/>
          <w:color w:val="1F1F1F"/>
          <w:sz w:val="24"/>
          <w:szCs w:val="24"/>
          <w:lang w:eastAsia="es-CL"/>
        </w:rPr>
      </w:pPr>
      <w:r w:rsidRPr="000D206B">
        <w:rPr>
          <w:rFonts w:ascii="Times New Roman" w:eastAsia="Times New Roman" w:hAnsi="Times New Roman"/>
          <w:b/>
          <w:color w:val="1F1F1F"/>
          <w:sz w:val="24"/>
          <w:szCs w:val="24"/>
          <w:lang w:eastAsia="es-CL"/>
        </w:rPr>
        <w:t>El nuevo techo del precio del petróleo</w:t>
      </w:r>
    </w:p>
    <w:p w:rsidR="00A375BE" w:rsidRPr="000D206B" w:rsidRDefault="00A375BE" w:rsidP="00CA3626">
      <w:pPr>
        <w:shd w:val="clear" w:color="auto" w:fill="FFFBF0"/>
        <w:spacing w:after="400"/>
        <w:jc w:val="both"/>
        <w:rPr>
          <w:rFonts w:ascii="Times New Roman" w:hAnsi="Times New Roman"/>
          <w:color w:val="000000"/>
          <w:sz w:val="24"/>
          <w:szCs w:val="24"/>
        </w:rPr>
      </w:pPr>
      <w:hyperlink r:id="rId10" w:history="1">
        <w:r w:rsidRPr="000D206B">
          <w:rPr>
            <w:rStyle w:val="Hipervnculo"/>
            <w:rFonts w:ascii="Times New Roman" w:hAnsi="Times New Roman"/>
            <w:sz w:val="24"/>
            <w:szCs w:val="24"/>
          </w:rPr>
          <w:t>www.project-syndicate.org</w:t>
        </w:r>
      </w:hyperlink>
      <w:r>
        <w:rPr>
          <w:rFonts w:ascii="Times New Roman" w:hAnsi="Times New Roman"/>
          <w:color w:val="000000"/>
          <w:sz w:val="24"/>
          <w:szCs w:val="24"/>
        </w:rPr>
        <w:t xml:space="preserve">, </w:t>
      </w:r>
      <w:r w:rsidRPr="000D206B">
        <w:rPr>
          <w:rFonts w:ascii="Times New Roman" w:eastAsia="Times New Roman" w:hAnsi="Times New Roman"/>
          <w:color w:val="1F1F1F"/>
          <w:sz w:val="24"/>
          <w:szCs w:val="24"/>
          <w:lang w:eastAsia="es-CL"/>
        </w:rPr>
        <w:t>Anatole Kaletsky, 14 de junio de 2015</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Si hay un número que determina la suerte de la economía mundial, es el precio del barril de petróleo. Cada recesión global desde 1970 fue precedida por su encarecimiento (al menos hasta el doble), y cada vez que el precio se redujo a la mitad y se mantuvo bajo durante unos seis meses, siguió una aceleración importante del crecimiento global.</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Tras caer de 100 a 50 dólares, el precio del petróleo ahora se mantiene exactamente en este nivel crítico. ¿Será esa cifra el piso o el techo del nuevo intervalo de precios?</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La mayoría de los analistas todavía cree que 50 dólares es un piso, e incluso un trampolín, ya que las tomas de posiciones en los mercados de futuros sugieren expectativas de un rebote bastante rápido a 70 u 80 dólares. Pero la economía y la historia sugieren que es probable que sea el techo de un intervalo mucho menor, que puede llegar a los 20 dólares en su extremo inferior.</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Para entender las razones, pensemos ante todo en la ironía ideológica que hoy subyace a la economía de la energía. El mercado del petróleo siempre se definió por una lucha entre el monopolio y la competencia. Pero aunque la mayoría de los comentaristas occidentales no lo admita, hoy el principal defensor de la competencia es Arabia Saudita, mientras que los petroleros tejanos amantes de la libertad rezan para que la OPEP reafirme su poder monopólico.</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En segundo lugar, veamos la historia, en concreto, la de los precios del petróleo (ajustados por inflación) desde 1974, cuando hizo su entrada la OPEP. Vemos que hubo dos regímenes de precios distintos. De 1974 a 1985, el precio de referencia estadounidense fluctuó entre 50 y 120 dólares, a valores actuales. Entre 1986 y 2004, el intervalo fue de 20 a 50 dólares (sacando dos breves desviaciones tras la invasión a Kuwait en 1990 y la devaluación rusa de 1998). Finalmente, entre 2005 y 2014, la cotización volvió a situarse entre los 50 y los 120 dólares como en el primer período mencionado, salvo dos picos muy breves durante la crisis financiera de 2008 y 2009.</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 xml:space="preserve">Es decir que el intervalo de precios de los últimos diez años fue similar al de la primera década de la OPEP, mientras que los diecinueve años entre 1986 y 2004 muestran un régimen totalmente diferente. Es razonable pensar que la diferencia se debe a la pérdida de poder de la OPEP en 1985 como resultado del desarrollo de la explotación petrolera en el Mar del Norte y Alaska, que provocó un cambio de la fijación de precios monopólica a la </w:t>
      </w:r>
      <w:r w:rsidRPr="000D206B">
        <w:rPr>
          <w:rFonts w:ascii="Times New Roman" w:eastAsia="Times New Roman" w:hAnsi="Times New Roman"/>
          <w:color w:val="1F1F1F"/>
          <w:sz w:val="24"/>
          <w:szCs w:val="24"/>
          <w:lang w:eastAsia="es-CL"/>
        </w:rPr>
        <w:lastRenderedPageBreak/>
        <w:t>competitiva. Ese período terminó en 2005, cuando el abrupto aumento de la demanda china creó en forma temporal una escasez global de petróleo, que permitió a la OPEP restaurar la “disciplina” de precios.</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De modo que 50 dólares puede ser una divisoria entre el régimen monopólico y el competitivo. Y la economía de los mercados competitivos, por contraste con los monopólicos, da motivos para creer que 50 dólares será un techo, no un piso.</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En un mercado competitivo, el precio equivale al costo marginal. Es decir, el precio dependerá del costo que un proveedor eficiente deba compensar para producir el último barril necesario para satisfacer la demanda global. En un régimen monopólico, en cambio, el monopolio puede fijar un precio muy por encima del costo marginal y luego restringir la producción para asegurar que la oferta no supere la demanda (como ocurriría por ser el precio artificialmente alto).</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Hasta el pasado verano boreal, el petróleo se rigió por un régimen de precios monopólico, en el que Arabia Saudita actuó como “productor bisagra” restringiendo la oferta cada vez que superaba la demanda. Pero esto daba poderosos incentivos a otros productores (sobre todo en Estados Unidos y Canadá) para aumentar considerablemente su producción: el precio garantizado, gracias a los sauditas, permitía a los productores norteamericanos de gas y petróleo de esquisto obtener grandes ganancias a pesar de sus costos de producción mucho mayores.</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Pero los sauditas solo podían mantener altos los precios reduciendo su propia producción, para hacerle sitio en el mercado global a la creciente producción estadounidense. Parece que en el otoño boreal de 2014, los líderes sauditas concluyeron que era una estrategia perdedora (y lo era). La consecuencia lógica iba a ser que Estados Unidos se convirtiera en el mayor productor de petróleo del mundo y Arabia Saudita cayera en la insignificancia, no solo como exportador de petróleo sino quizá como país al que Estados Unidos se sintiera obligado a defender.</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Los potentados petroleros de Medio Oriente ahora están decididos a revertir esta pérdida de estatus, como señala su conducta reciente en la OPEP. Pero el único modo que tiene la OPEP de recuperar, o incluso preservar, su cuota de mercado es bajar sus precios hasta el punto en que los estadounidenses reduzcan drásticamente su producción para equilibrar la oferta global con la demanda. En resumen, los sauditas deben dejar de ser “productores bisagra” y obligar a los frackers estadounidenses a tomar ese lugar.</w:t>
      </w:r>
    </w:p>
    <w:p w:rsidR="00A375BE"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Y es exactamente lo que recomendaría cualquier manual de economía. El petróleo de esquisto es caro de extraer, de modo que debería quedar enterrado hasta que todos los yacimientos convencionales del mundo, menos costosos, estén trabajando al máximo de su capacidad. Además, la producción no convencional se puede detener y reanudar con muy bajo costo.</w:t>
      </w:r>
    </w:p>
    <w:p w:rsidR="00A375BE" w:rsidRPr="000D206B"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lastRenderedPageBreak/>
        <w:t>De modo que un mercado competitivo exige que Arabia Saudita y otros productores de bajo costo trabajen siempre al máximo de sus capacidades, mientras que los frackers estadounidenses experimentarán los ciclos de expansión y contracción típicos de los mercados de commodities: cortarán la producción cuando haya poca demanda global o entren en juego nuevas fuentes de suministro económicas en Irak, Libia, Irán o Rusia, y la subirán en tiempos de bonanza global cuando la demanda de petróleo se maximiza.</w:t>
      </w:r>
    </w:p>
    <w:p w:rsidR="00A375BE" w:rsidRDefault="00A375BE" w:rsidP="00CA3626">
      <w:pPr>
        <w:shd w:val="clear" w:color="auto" w:fill="FFFBF0"/>
        <w:spacing w:after="400"/>
        <w:jc w:val="both"/>
        <w:rPr>
          <w:rFonts w:ascii="Times New Roman" w:eastAsia="Times New Roman" w:hAnsi="Times New Roman"/>
          <w:color w:val="1F1F1F"/>
          <w:sz w:val="24"/>
          <w:szCs w:val="24"/>
          <w:lang w:eastAsia="es-CL"/>
        </w:rPr>
      </w:pPr>
      <w:r w:rsidRPr="000D206B">
        <w:rPr>
          <w:rFonts w:ascii="Times New Roman" w:eastAsia="Times New Roman" w:hAnsi="Times New Roman"/>
          <w:color w:val="1F1F1F"/>
          <w:sz w:val="24"/>
          <w:szCs w:val="24"/>
          <w:lang w:eastAsia="es-CL"/>
        </w:rPr>
        <w:t>Según esta lógica competitiva, el costo marginal del petróleo de esquisto estadounidense será el techo del precio global, mientras que el costo de los yacimientos convencionales, relativamente remotos y marginales, de la OPEP y Rusia será el piso. Pues bien, el costo de producción estimado del petróleo de esquisto se sitúa generalmente alrededor de los 50 dólares, mientras que el yacimiento convencional marginal suele cubrir sus costos con un precio de alrededor de 20 dólares. De modo que el intervalo de precios aproximado en este nuevo mundo de competencia petrolera debería ser de 20 a 50 dólares.</w:t>
      </w:r>
    </w:p>
    <w:p w:rsidR="00A375BE" w:rsidRDefault="00D77AB8" w:rsidP="00CA3626">
      <w:pPr>
        <w:shd w:val="clear" w:color="auto" w:fill="FFFBF0"/>
        <w:spacing w:after="400"/>
        <w:jc w:val="both"/>
      </w:pPr>
      <w:r>
        <w:rPr>
          <w:noProof/>
          <w:lang w:val="es-ES" w:eastAsia="es-ES"/>
        </w:rPr>
        <w:drawing>
          <wp:inline distT="0" distB="0" distL="0" distR="0">
            <wp:extent cx="6515100" cy="2366645"/>
            <wp:effectExtent l="19050" t="0" r="0" b="0"/>
            <wp:docPr id="1" name="Imagen 1" descr="kaletsky7cha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etsky7chart01"/>
                    <pic:cNvPicPr>
                      <a:picLocks noChangeAspect="1" noChangeArrowheads="1"/>
                    </pic:cNvPicPr>
                  </pic:nvPicPr>
                  <pic:blipFill>
                    <a:blip r:embed="rId11"/>
                    <a:srcRect/>
                    <a:stretch>
                      <a:fillRect/>
                    </a:stretch>
                  </pic:blipFill>
                  <pic:spPr bwMode="auto">
                    <a:xfrm>
                      <a:off x="0" y="0"/>
                      <a:ext cx="6515100" cy="2366645"/>
                    </a:xfrm>
                    <a:prstGeom prst="rect">
                      <a:avLst/>
                    </a:prstGeom>
                    <a:noFill/>
                    <a:ln w="9525">
                      <a:noFill/>
                      <a:miter lim="800000"/>
                      <a:headEnd/>
                      <a:tailEnd/>
                    </a:ln>
                  </pic:spPr>
                </pic:pic>
              </a:graphicData>
            </a:graphic>
          </wp:inline>
        </w:drawing>
      </w:r>
    </w:p>
    <w:p w:rsidR="00F95F7C" w:rsidRPr="00F95F7C" w:rsidRDefault="00F95F7C" w:rsidP="00CA3626">
      <w:pPr>
        <w:rPr>
          <w:rFonts w:ascii="Times New Roman" w:hAnsi="Times New Roman"/>
          <w:b/>
          <w:bCs/>
          <w:color w:val="000000"/>
          <w:sz w:val="24"/>
          <w:szCs w:val="24"/>
        </w:rPr>
      </w:pPr>
      <w:r w:rsidRPr="00F95F7C">
        <w:rPr>
          <w:rFonts w:ascii="Times New Roman" w:hAnsi="Times New Roman"/>
          <w:b/>
          <w:bCs/>
          <w:color w:val="000000"/>
          <w:sz w:val="24"/>
          <w:szCs w:val="24"/>
        </w:rPr>
        <w:t>La Industria del Petróleo en su nueva fase de crisis</w:t>
      </w:r>
    </w:p>
    <w:p w:rsidR="00F95F7C" w:rsidRPr="00F95F7C" w:rsidRDefault="00F95F7C" w:rsidP="00CA3626">
      <w:pPr>
        <w:jc w:val="both"/>
        <w:rPr>
          <w:rFonts w:ascii="Times New Roman" w:hAnsi="Times New Roman"/>
          <w:b/>
          <w:bCs/>
          <w:i/>
          <w:iCs/>
          <w:color w:val="000000"/>
          <w:sz w:val="24"/>
          <w:szCs w:val="24"/>
        </w:rPr>
      </w:pPr>
      <w:hyperlink r:id="rId12" w:history="1">
        <w:r w:rsidRPr="00F95F7C">
          <w:rPr>
            <w:rStyle w:val="Hipervnculo"/>
            <w:rFonts w:ascii="Times New Roman" w:hAnsi="Times New Roman"/>
            <w:b/>
            <w:bCs/>
            <w:i/>
            <w:iCs/>
            <w:color w:val="0099CC"/>
            <w:sz w:val="24"/>
            <w:szCs w:val="24"/>
          </w:rPr>
          <w:t>Mario R. Fernández</w:t>
        </w:r>
      </w:hyperlink>
      <w:r>
        <w:rPr>
          <w:rFonts w:ascii="Times New Roman" w:hAnsi="Times New Roman"/>
          <w:b/>
          <w:bCs/>
          <w:i/>
          <w:iCs/>
          <w:color w:val="000000"/>
          <w:sz w:val="24"/>
          <w:szCs w:val="24"/>
        </w:rPr>
        <w:t xml:space="preserve">, </w:t>
      </w:r>
      <w:hyperlink r:id="rId13" w:tgtFrame="_blank" w:history="1">
        <w:r w:rsidRPr="00F95F7C">
          <w:rPr>
            <w:rStyle w:val="Hipervnculo"/>
            <w:rFonts w:ascii="Times New Roman" w:hAnsi="Times New Roman"/>
            <w:color w:val="0099CC"/>
            <w:sz w:val="24"/>
            <w:szCs w:val="24"/>
          </w:rPr>
          <w:t>Rebelión</w:t>
        </w:r>
      </w:hyperlink>
      <w:r>
        <w:rPr>
          <w:rFonts w:ascii="Times New Roman" w:hAnsi="Times New Roman"/>
          <w:color w:val="006600"/>
          <w:sz w:val="24"/>
          <w:szCs w:val="24"/>
        </w:rPr>
        <w:t xml:space="preserve">, </w:t>
      </w:r>
      <w:r w:rsidRPr="00F95F7C">
        <w:rPr>
          <w:rFonts w:ascii="Times New Roman" w:hAnsi="Times New Roman"/>
          <w:i/>
          <w:iCs/>
          <w:color w:val="555555"/>
          <w:sz w:val="24"/>
          <w:szCs w:val="24"/>
        </w:rPr>
        <w:t>05-09-2015</w:t>
      </w:r>
    </w:p>
    <w:p w:rsidR="00F95F7C" w:rsidRPr="00F95F7C" w:rsidRDefault="00F95F7C" w:rsidP="00CA3626">
      <w:pPr>
        <w:pStyle w:val="NormalWeb"/>
        <w:jc w:val="both"/>
        <w:rPr>
          <w:color w:val="000000"/>
        </w:rPr>
      </w:pPr>
      <w:r w:rsidRPr="00F95F7C">
        <w:rPr>
          <w:color w:val="000000"/>
        </w:rPr>
        <w:t>Desde agosto del 2014, un año ya, los precios del petróleo comenzaron sorpresivamente a descender; hoy los precios de los diferentes crudos han perdido más del 50 por ciento de su valor, lo que pone de manifiesto la crisis que enfrenta esta industria. Los sectores involucrados y los medios de comunicación oficiales (en realidad empresariales) han encubierto hasta hace poco tiempo el tamaño de la crisis. La tendencia persistente de los precios del petróleo y del gas a mantenerse bajos, y a bajar aún más recientemente, han limitado el espacio de maniobra de las corporaciones.</w:t>
      </w:r>
    </w:p>
    <w:p w:rsidR="00F95F7C" w:rsidRPr="00F95F7C" w:rsidRDefault="00F95F7C" w:rsidP="00CA3626">
      <w:pPr>
        <w:pStyle w:val="NormalWeb"/>
        <w:jc w:val="both"/>
        <w:rPr>
          <w:color w:val="000000"/>
        </w:rPr>
      </w:pPr>
      <w:r w:rsidRPr="00F95F7C">
        <w:rPr>
          <w:color w:val="000000"/>
        </w:rPr>
        <w:t xml:space="preserve">La industria del petróleo y del gas natural, como cualquier industria, es catalogada de acuerdo a su tamaño y al nombre de su o sus propietarios. </w:t>
      </w:r>
      <w:r w:rsidRPr="008C7D1B">
        <w:rPr>
          <w:color w:val="000000"/>
        </w:rPr>
        <w:t xml:space="preserve">La industria petrolera incluye seis áreas relevantes, el área de prospección, de explotación, de producción, de comercialización del crudo y los combustibles, de servicios técnicos en el terreno mismo de </w:t>
      </w:r>
      <w:r w:rsidRPr="008C7D1B">
        <w:rPr>
          <w:color w:val="000000"/>
        </w:rPr>
        <w:lastRenderedPageBreak/>
        <w:t xml:space="preserve">explotación y el área del transporte. </w:t>
      </w:r>
      <w:r w:rsidRPr="00F95F7C">
        <w:rPr>
          <w:color w:val="000000"/>
        </w:rPr>
        <w:t>Las grandes corporaciones multinacionales privadas del petróleo cuentan, lógicamente, con más capital, por lo que en cualquier situación pueden desarrollar estrategias de más largo plazo; tienen también más poder político y cuentan con el apoyo de los medios de información para manipular el valor de sus acciones en tiempos de crisis. Pueden también presionar a los gobiernos de los países dueños de los recursos en donde operan para manipular lo que pagan por concepto de derechos y de impuestos. Pero aún así todas estas ventajas tienen su límite. Sin duda, las corporaciones medianas y pequeñas son más desventajadas frente a las gigantes, y en una crisis de costos y de reducimiento de precios estas son las que quedan vulnerables al colapso.</w:t>
      </w:r>
    </w:p>
    <w:p w:rsidR="00F95F7C" w:rsidRDefault="00F95F7C" w:rsidP="00CA3626">
      <w:pPr>
        <w:pStyle w:val="NormalWeb"/>
        <w:jc w:val="both"/>
        <w:rPr>
          <w:color w:val="000000"/>
        </w:rPr>
      </w:pPr>
      <w:r w:rsidRPr="00F95F7C">
        <w:rPr>
          <w:color w:val="000000"/>
        </w:rPr>
        <w:t>En el mundo de los hidrocarburos hay corporaciones esta</w:t>
      </w:r>
      <w:r>
        <w:rPr>
          <w:color w:val="000000"/>
        </w:rPr>
        <w:t>ta</w:t>
      </w:r>
      <w:r w:rsidRPr="00F95F7C">
        <w:rPr>
          <w:color w:val="000000"/>
        </w:rPr>
        <w:t xml:space="preserve">les importantes que también son vulnerables de perder en las crisis, pero estas cuentan, igualmente con una mayor resistencia y muchas no están involucradas en la especulación bursátil por lo que no tienen que mantener expectativas en ese mundo de parásitos. </w:t>
      </w:r>
    </w:p>
    <w:p w:rsidR="00F95F7C" w:rsidRPr="00F95F7C" w:rsidRDefault="00F95F7C" w:rsidP="00CA3626">
      <w:pPr>
        <w:pStyle w:val="NormalWeb"/>
        <w:jc w:val="both"/>
        <w:rPr>
          <w:color w:val="000000"/>
        </w:rPr>
      </w:pPr>
      <w:r w:rsidRPr="00F95F7C">
        <w:rPr>
          <w:color w:val="000000"/>
        </w:rPr>
        <w:t>Para las corporaciones privadas hay cuatro vías para enfrentar una crisis; la primera es eliminar puestos de trabajo, otra es limitar el capital de inversión en la producción y en futuros proyectos, otra forma es rebajar el pago de dividendos de sus acciones o títulos y finalmente siempre queda la opción de vender algunos activos y valores.</w:t>
      </w:r>
    </w:p>
    <w:p w:rsidR="00F95F7C" w:rsidRPr="00F95F7C" w:rsidRDefault="00F95F7C" w:rsidP="00CA3626">
      <w:pPr>
        <w:pStyle w:val="NormalWeb"/>
        <w:jc w:val="both"/>
        <w:rPr>
          <w:color w:val="000000"/>
        </w:rPr>
      </w:pPr>
      <w:r w:rsidRPr="00F95F7C">
        <w:rPr>
          <w:color w:val="000000"/>
        </w:rPr>
        <w:t>En el año que pasó las grandes corporaciones multinacionales del petróleo redujeron levemente los puestos de trabajo, redujeron también los gastos de capital –en especial en cuanto a nuevos proyectos, pero no en la producción. Muchas de ellas sostuvieron su nivel de dividendos por lo que sus accionistas pasaron el año sin ser afectados por la crisis, algo que según los últimos análisis y sucesos está cambiando. Algunas corporaciones multinacionales, como la Canadian Oil Sand que opera en las arenas bituminosas en Alberta (Canadá), o la canadiense Penn West Petroleum Ltd., han comenzado a reducir sus dividendos. Esta última anunció una reducción de capital en la inversión y la reducción de su fuerza laboral en un 35 por ciento. Transoceans Ltd, una de las más grandes operadoras mundiales de plataformas costa afuera, redujo drásticamente el pago de sus dividendos cuando perdió dos tercios de su valor; hay que considerar que este tipo de explotación petrolera tiene un alto costo por lo que enfrentará grandes desafíos.</w:t>
      </w:r>
    </w:p>
    <w:p w:rsidR="00F95F7C" w:rsidRPr="00F95F7C" w:rsidRDefault="00F95F7C" w:rsidP="00CA3626">
      <w:pPr>
        <w:pStyle w:val="NormalWeb"/>
        <w:jc w:val="both"/>
        <w:rPr>
          <w:color w:val="000000"/>
        </w:rPr>
      </w:pPr>
      <w:r w:rsidRPr="00F95F7C">
        <w:rPr>
          <w:color w:val="000000"/>
        </w:rPr>
        <w:t>Algunas corporaciones, sin embargo, han incluso aumentado su pago de dividendos a pesar de lo que significa en términos de riesgo; Suncor Energy, la más grande compañía canadiense en esta área energética ha implementado esta política. Otras gigantes del área de los servicios técnicos de esta industria, como la Schlumberger NV y la Halliburton, cruciales en la explotación de hidrocarburos de esquistos bituminoso en los Estados Unidos usando fractura hidráulica, han extendido créditos pagaderos a futuro a sus clientes al tiempo que ellas mismas se financian con créditos bancarios a muy bajo interés. Estos créditos a futuro se calculan pagaderos cuando el precio del crudo se recupere. De esta manera se ha mantenido la producción del hidrocarburo de esquisto (que tiene un costo más elevado y está asociado a una gran preocupación del daño que ocasiona al medio ambiente). De todas maneras, en los meses venideros será imposible detener la eliminación de puestos de trabajo, la baja de pagos de dividendos y la depreciación del valor de acciones en esta área, todo acompañado de la desaceleración de la economía mundial o peor aún de una recesión mundial.</w:t>
      </w:r>
    </w:p>
    <w:p w:rsidR="00F95F7C" w:rsidRPr="00F95F7C" w:rsidRDefault="00F95F7C" w:rsidP="00CA3626">
      <w:pPr>
        <w:pStyle w:val="NormalWeb"/>
        <w:jc w:val="both"/>
        <w:rPr>
          <w:color w:val="000000"/>
        </w:rPr>
      </w:pPr>
      <w:r w:rsidRPr="00F95F7C">
        <w:rPr>
          <w:color w:val="000000"/>
        </w:rPr>
        <w:lastRenderedPageBreak/>
        <w:t>En Canadá, donde la industria de los hidrocarburos recibe subsidios (de los canadienses) por más de 1.300 millones de dólares al año, la industria no está libre de crisis porque aunque este nivel de subsidios es elevado no alcanza a contra restar las pérdidas de las corporaciones medianas y más pequeñas en esta área. Estas, aunque han reducido sus gastos usando las cuatro vías antes mencionadas, igual han sido severamente afectadas; de hecho las compañías de prospección y de servicios técnicos ya han cortado 35.000 puestos de trabajos según la CAPP (Canadian Association of Petroleum Producers). Muchas productoras para seguir funcionando, usan créditos de instituciones financieras con el aval de que los precios del crudo se espera se recuperen en un plazo mediano, pero la realidad muestra lo contrario ya que los precios de los diferentes crudos han bajado aun más y no se atisban señales de recuperación significativas por un largo tiempo.</w:t>
      </w:r>
    </w:p>
    <w:p w:rsidR="00F95F7C" w:rsidRPr="00F95F7C" w:rsidRDefault="00F95F7C" w:rsidP="00CA3626">
      <w:pPr>
        <w:pStyle w:val="NormalWeb"/>
        <w:jc w:val="both"/>
        <w:rPr>
          <w:color w:val="000000"/>
        </w:rPr>
      </w:pPr>
      <w:r w:rsidRPr="00F95F7C">
        <w:rPr>
          <w:color w:val="000000"/>
        </w:rPr>
        <w:t>En la provincia de Alberta, donde se produce el 90 por ciento del petróleo canadiense, muchas corporaciones medianas involucradas especialmente en la explotación de las arenas bituminosas usando el sistema SAGD (inyectando vapor y bombeando el hidrocarburo bituminoso hacia la superficie) mantiene desde hace años deudas mucho más altas que sus ganancias. Es que en su afán de participar en él auge de la pasada década no han cejado de endeudarse y, en una crisis como esta, tienen limitadas chances de supervivencia. Hay que considerar, que los costos con el sistema SAGD no son homogéneos por lo que muchas explotaciones petroleras requieren un precio del crudo WTI mínimo de 43 dólares el barril. Consecuencia de lo anterior, muchas de estas corporaciones han perdido su acceso al crédito y han caído en la bancarrota al no poder continuar operando.</w:t>
      </w:r>
    </w:p>
    <w:p w:rsidR="00F95F7C" w:rsidRPr="00F95F7C" w:rsidRDefault="00F95F7C" w:rsidP="00CA3626">
      <w:pPr>
        <w:pStyle w:val="NormalWeb"/>
        <w:jc w:val="both"/>
        <w:rPr>
          <w:color w:val="000000"/>
        </w:rPr>
      </w:pPr>
      <w:r w:rsidRPr="00F95F7C">
        <w:rPr>
          <w:color w:val="000000"/>
        </w:rPr>
        <w:t>La industria del petróleo y del gas es una de las que requiere más capital para su desarrollo. En esta crisis la industria ha cortado a su operación y proyectos, mundialmente, 180 mil millones de dólares de capital. Se espera que el próximo año haya otra reducción de entre el 5 y el 15 por ciento más, dependiendo del precio del crudo, esta información es de la consultora noruega Rystad Energy. De entre los grandes productores de petróleo, Rusia y Canadá, pagan más costos de operación debido a que sus monedas están devaluadas frente al dólar estadounidense. Esto no ha impedido que estos dos países productores, a los que se suman Estados Unidos e Irak, aumentaran su producción el pasado año, pero no hay duda que la producción mundial de más de 85 millones de barriles diarios no se consume, por lo que el precio del petróleo seguirá deprimido. Quizás ese sea el límite de la oferta, aunque es posible que el aumento de la producción y exportación de Venezuela e Irán (aumento que significaría cerca de un millón de barriles diarios -más o menos el 1 por ciento de la producción mundial) no tenga impacto en los precios porque la producción mundial es variable día a día. Puede que si tenga impacto especulativo y noticioso.</w:t>
      </w:r>
    </w:p>
    <w:p w:rsidR="00F95F7C" w:rsidRPr="00F95F7C" w:rsidRDefault="00F95F7C" w:rsidP="00CA3626">
      <w:pPr>
        <w:pStyle w:val="NormalWeb"/>
        <w:jc w:val="both"/>
        <w:rPr>
          <w:color w:val="000000"/>
        </w:rPr>
      </w:pPr>
      <w:r w:rsidRPr="00F95F7C">
        <w:rPr>
          <w:color w:val="000000"/>
        </w:rPr>
        <w:t xml:space="preserve">Para Canadá, como para otros países dependientes de la exportación de minerales y materias primas, que según Bloomberg Commodity Index han bajado el 29 por ciento desde agosto del 2014, es de esperar un periodo recesivo económico, que ahora con la baja del petróleo hace más grave la situación para los gobiernos y para toda la economía, especialmente en las regiones mismas de explotación de hidrocarburos como la provincia de Alberta. Cuando hace un año comenzó la caída del precio del petróleo, la falsimedia en Canadá y Estados Unidos exageró el beneficio que esta caída traería al consumidor –abaratando el precio del combustible; la realidad ha sido otra pues al tiempo que el crudo bajaba de precio el 60 por ciento la gasolina solo llegó a bajar un máximo del 30 por ciento; </w:t>
      </w:r>
      <w:r w:rsidRPr="00F95F7C">
        <w:rPr>
          <w:color w:val="000000"/>
        </w:rPr>
        <w:lastRenderedPageBreak/>
        <w:t>este verano que según dicen aumentó el consumo de gasolina en Norteamérica, su precio es apenas un 10 por ciento menos que antes de la crisis de la caída del precio del petróleo. Esto, obviamente, no ha sido un beneficio para el consumidor, pues no existen regulaciones del precio del combustible, pero sí ha beneficiado a las refinerías productoras de combustible, muchas de ellas pertenecientes a las grandes corporaciones que también comercializan gasolina y diesel.</w:t>
      </w:r>
    </w:p>
    <w:p w:rsidR="00F95F7C" w:rsidRPr="00F95F7C" w:rsidRDefault="00F95F7C" w:rsidP="00CA3626">
      <w:pPr>
        <w:pStyle w:val="NormalWeb"/>
        <w:jc w:val="both"/>
        <w:rPr>
          <w:color w:val="000000"/>
        </w:rPr>
      </w:pPr>
      <w:r w:rsidRPr="00F95F7C">
        <w:rPr>
          <w:color w:val="000000"/>
        </w:rPr>
        <w:t>Hay una realidad con respecto a toda la industria de hidrocarburos y de combustibles fósiles en general, el producto de esta industria es imprescindible en el mundo, no podemos imaginarnos sin petróleo y sin gas natural ya que la humanidad reemplazó hace mucho tiempo a otros medios energéticos del pasado como una buena parte del carbón, la leña y el trabajo de los esclavos. Los hidrocarburos no solo son un medio de energía, también sus productos químicos han remplazado parte del metal, la madera, el algodón, la lana etc., en todo lo que usamos diariamente. Puede la industria de cosméticos, del cine y la televisión, de las alhajas, de ornamentos y decoración o del turismo, desaparecer mañana y no causaría ningún desastre al mundo, pero si pasara eso con la industria de los hidrocarburos simplemente sería caótico, aunque existan medios alternativos de energía estos son pequeños y su producción energética es mínima en la mayoría de sociedades.</w:t>
      </w:r>
    </w:p>
    <w:p w:rsidR="00F95F7C" w:rsidRDefault="00F95F7C" w:rsidP="00CA3626">
      <w:pPr>
        <w:pStyle w:val="NormalWeb"/>
        <w:jc w:val="both"/>
        <w:rPr>
          <w:color w:val="000000"/>
        </w:rPr>
      </w:pPr>
      <w:r w:rsidRPr="00F95F7C">
        <w:rPr>
          <w:color w:val="000000"/>
        </w:rPr>
        <w:t>La crisis de los precios deprimidos del petróleo y del gas natural, puede ser una situación de unos pocos años, pero el futuro de la existencia de esta energía no tiene nada que ver con esta situación mercantil que puede ser eventual, ya que todos los hidrocarburos van en declive aunque se hace mucho alarde de los crudos no convencionales que se explotan hoy día, como el de las arenas bituminosas, el de esquisto o el extraído en el mar, con todo el daño al medio ambiente que significa estas explotaciones, no reemplazan al petróleo convencional en un acentuado agotamiento. Los países, las organizaciones mundiales como las ONU, los gobiernos y las élites de poder ya que son incapaces de crear otros modelos y proyectos de vida, tampoco tienen la intención de establecer una política racional del petróleo y del gas natural y de todos los demás recursos naturales, para darse tiempo en el futuro de buscar seriamente alternativas, por el contrario en las últimas décadas se ha permitido saquear y explotar de una forma irracional, demencial e irresponsable todos los recursos vitales, no solo para el modelo de vida que tenemos sino para la existencia misma del futuro de la humanidad.</w:t>
      </w:r>
    </w:p>
    <w:p w:rsidR="006659B7" w:rsidRDefault="00993C56" w:rsidP="00CA3626">
      <w:pPr>
        <w:pStyle w:val="NormalWeb"/>
        <w:jc w:val="both"/>
        <w:rPr>
          <w:b/>
          <w:color w:val="000000"/>
        </w:rPr>
      </w:pPr>
      <w:r w:rsidRPr="00993C56">
        <w:rPr>
          <w:b/>
          <w:color w:val="000000"/>
        </w:rPr>
        <w:t>Hidrocarburos y ajedrez geopolítico</w:t>
      </w:r>
    </w:p>
    <w:p w:rsidR="00993C56" w:rsidRPr="006659B7" w:rsidRDefault="00993C56" w:rsidP="00CA3626">
      <w:pPr>
        <w:pStyle w:val="NormalWeb"/>
        <w:jc w:val="both"/>
        <w:rPr>
          <w:b/>
          <w:color w:val="000000"/>
        </w:rPr>
      </w:pPr>
      <w:r>
        <w:rPr>
          <w:color w:val="000000"/>
        </w:rPr>
        <w:t>11 de septiembre</w:t>
      </w:r>
      <w:r w:rsidRPr="00993C56">
        <w:rPr>
          <w:color w:val="000000"/>
        </w:rPr>
        <w:t>, 2015</w:t>
      </w:r>
      <w:r>
        <w:rPr>
          <w:color w:val="000000"/>
        </w:rPr>
        <w:t xml:space="preserve">, </w:t>
      </w:r>
      <w:hyperlink r:id="rId14" w:history="1">
        <w:r w:rsidRPr="00050FC5">
          <w:rPr>
            <w:rStyle w:val="Hipervnculo"/>
          </w:rPr>
          <w:t>http://www.opsur.org.ar/blog</w:t>
        </w:r>
      </w:hyperlink>
      <w:r>
        <w:rPr>
          <w:color w:val="000000"/>
        </w:rPr>
        <w:t xml:space="preserve"> </w:t>
      </w:r>
    </w:p>
    <w:p w:rsidR="00993C56" w:rsidRPr="00993C56" w:rsidRDefault="00993C56" w:rsidP="00CA3626">
      <w:pPr>
        <w:pStyle w:val="NormalWeb"/>
        <w:jc w:val="both"/>
        <w:rPr>
          <w:b/>
          <w:color w:val="000000"/>
        </w:rPr>
      </w:pPr>
      <w:r w:rsidRPr="00993C56">
        <w:rPr>
          <w:b/>
          <w:color w:val="000000"/>
        </w:rPr>
        <w:t>Acuerdos internacionales para el avance de la energía extrema</w:t>
      </w:r>
    </w:p>
    <w:p w:rsidR="00993C56" w:rsidRPr="00993C56" w:rsidRDefault="00993C56" w:rsidP="00CA3626">
      <w:pPr>
        <w:pStyle w:val="NormalWeb"/>
        <w:jc w:val="both"/>
        <w:rPr>
          <w:color w:val="000000"/>
        </w:rPr>
      </w:pPr>
      <w:r w:rsidRPr="00993C56">
        <w:rPr>
          <w:color w:val="000000"/>
        </w:rPr>
        <w:t>Lejos de ser una apuesta puramente corporativa, el avance de los no convencionales ha sido fuertemente promovido por distintos gobiernos a nivel global, con Estados Unidos a la vanguardia. La más reciente de estas iniciativas es un informe pro-fracking surgido en el seno del Eurolat</w:t>
      </w:r>
      <w:r>
        <w:rPr>
          <w:color w:val="000000"/>
        </w:rPr>
        <w:t xml:space="preserve"> (parlamento europeo-latinoamericano)</w:t>
      </w:r>
      <w:r w:rsidRPr="00993C56">
        <w:rPr>
          <w:color w:val="000000"/>
        </w:rPr>
        <w:t>.</w:t>
      </w:r>
    </w:p>
    <w:p w:rsidR="00993C56" w:rsidRPr="00993C56" w:rsidRDefault="00993C56" w:rsidP="00CA3626">
      <w:pPr>
        <w:pStyle w:val="NormalWeb"/>
        <w:jc w:val="both"/>
        <w:rPr>
          <w:color w:val="000000"/>
        </w:rPr>
      </w:pPr>
      <w:r w:rsidRPr="00993C56">
        <w:rPr>
          <w:color w:val="000000"/>
        </w:rPr>
        <w:t xml:space="preserve">El impulso global a la extracción de gas y petróleo de lutitas (shale) ha sido motorizado desde su inicio por el gobierno de EEUU. Bajo el concepto de seguridad energética la </w:t>
      </w:r>
      <w:r w:rsidRPr="00993C56">
        <w:rPr>
          <w:color w:val="000000"/>
        </w:rPr>
        <w:lastRenderedPageBreak/>
        <w:t>administración Obama diseñó una política exterior fuertemente ligada a una agenda de diversificación de fuentes de energía -nuclear, agro-combustibles, entre otras alternativas- donde el shale tiene un lugar central. Documentos filtrados por Wikileaks y publicados por la revista norteamericana Mother Jones muestran cómo las autoridades de ese país, a través del Departamento de Estado y su Programa para el Compromiso Técnico en Gas no Convencional alentaron la aplicación del fracking por todo el mundo. La misma Secretaria de Estado, Hillary Clinton (2009-2013), viajó por Rumania, Polonia y Bulgaria buscando asegurar el desarrollo de los no convencionales y eliminar la prohibición a la fracturación hidráulica en este último país (Mother Jones, octubre 2014; OPSur, 05/12/2012). Similar situación ocurrió con la gira latinoamericana del entonces Secretario Adjunto de Energía norteamericano, Daniel Poneman, en mayo de 2014. Tras recorrer Chile y Colombia, visitó Argentina para firmar un “convenio de cooperación energética”. Sus objetivos fueron dejados en claro por el bloque de legisladores del Frente para la Victoria en la Comisión de Energía de la Cámara de Diputados: “El financiamiento que ofrecen las empresas norteamericanas es uno de los principales intereses detrás del acuerdo, por el ingreso de inversiones al país. (…) En este sentido, el convenio se utilizará para el intercambio de experiencias y transferencia de tecnología” (Cámara de Diputados de la Nación, 2014: 2). Aunque la intervención estadounidense a favor del shale fue más activa en México, donde desplegó un fuerte lobby en favor de la reforma energética (Sin Embargo, 13/09/2014).</w:t>
      </w:r>
    </w:p>
    <w:p w:rsidR="00993C56" w:rsidRPr="00993C56" w:rsidRDefault="00993C56" w:rsidP="00CA3626">
      <w:pPr>
        <w:pStyle w:val="NormalWeb"/>
        <w:jc w:val="both"/>
        <w:rPr>
          <w:color w:val="000000"/>
        </w:rPr>
      </w:pPr>
      <w:r w:rsidRPr="00993C56">
        <w:rPr>
          <w:color w:val="000000"/>
        </w:rPr>
        <w:t>Así, durante el último lustro se han desarrollado distintas iniciativas de fomento internacional del fracking -bilaterales o dentro de acuerdos de libre comercio, como el Acuerdo Transatlántico entre la Unión Europea y Estados Unidos (Martin-Sosa y Rico, 2014)- en el marco de un delicado ajedrez geopolítico donde se busca asegurar el control de la mayor cantidad de recursos hidrocarburíferos en la perspectiva del agotamiento global de estos. Sin embargo la promoción pública de mayor envergadura multilateral del fracking es la que se intentó a través de la Asamblea Parlamentaria Eurolatinoamericana. Creado en 2006, este espacio conocido como Eurolat reúne a legisladores de ambos continentes, los que buscan influir en políticas comerciales y sociales en ambas regiones. Definido por su co-presidente, el socialista español Ramón Jáuregui, como “el brazo parlamentario” de la relación birregional (EFE, 4/9/2014), su capacidad real de intervención se relaciona con los documentos de recomendaciones que emana, los que buscan ser utilizados como antecedente en los respectivos ámbitos nacionales.</w:t>
      </w:r>
    </w:p>
    <w:p w:rsidR="00993C56" w:rsidRPr="00993C56" w:rsidRDefault="00993C56" w:rsidP="00CA3626">
      <w:pPr>
        <w:pStyle w:val="NormalWeb"/>
        <w:jc w:val="both"/>
        <w:rPr>
          <w:color w:val="000000"/>
        </w:rPr>
      </w:pPr>
      <w:r w:rsidRPr="00993C56">
        <w:rPr>
          <w:color w:val="000000"/>
        </w:rPr>
        <w:t xml:space="preserve">En dicha instancia la diputada de la derecha española Pilar Ayuso (Partido Popular) impulsó en la Comisión de Desarrollo Sostenible el informe Sobre Oportunidades y Desafíos del Gas de Esquisto, cuya redacción compartió con el diputado colombiano Mauricio Gómez (Partido Liberal). El documento se basa en la supuestamente exitosa experiencia norteamericana para promover el aprovechamiento de estos recursos en ambas regiones, con foco en América Latina. El documento no sólo busca avanzar en una imposible replicación de la experiencia estadounidense con el fracking -debido a los distintos obstáculos económicos, geológicos y ambientales observados en el resto del mundo (Amigos de la Tierra Europa, 2014)-, sino que además oculta las numerosas controversias y oposiciones que ha tenido esta técnica, incluso en ese país. En resumen, se hace eco del discurso corporativo para promover irrestrictamente el desarrollo de yacimientos de lutitas como alternativa energética segura, llamando a crear “las condiciones adecuadas para la atracción de inversiones”, considerándolos una “fuente de </w:t>
      </w:r>
      <w:r w:rsidRPr="00993C56">
        <w:rPr>
          <w:color w:val="000000"/>
        </w:rPr>
        <w:lastRenderedPageBreak/>
        <w:t>independencia energética y crecimiento económico y (…) elemento central de política energética de la Unión Europea para la diversificación y la seguridad del abastecimiento” (Ayuso y Gómez, 2015).</w:t>
      </w:r>
    </w:p>
    <w:p w:rsidR="00993C56" w:rsidRPr="00993C56" w:rsidRDefault="00993C56" w:rsidP="00CA3626">
      <w:pPr>
        <w:pStyle w:val="NormalWeb"/>
        <w:jc w:val="both"/>
        <w:rPr>
          <w:color w:val="000000"/>
        </w:rPr>
      </w:pPr>
      <w:r w:rsidRPr="00993C56">
        <w:rPr>
          <w:color w:val="000000"/>
        </w:rPr>
        <w:t>En marzo de este año el informe recibió el rechazo de más de 200 organizaciones ambientales, sociales, sindicales y políticas de ambos continentes, las que a través de la Declaración internacional contra acuerdo euro-latinoamericano pro fracking alertaron que la aprobación de la iniciativa se constituiría en el primer antecedente de promoción pública birregional de esta técnica y podría ser utilizado por los parlamentos nacionales como referencia para despejar el camino a los no convencionales. Dentro de numerosas críticas, solicitaron una modificación en su redacción basándose en tres aspectos centrales: la denuncia del doble estándar con que operan las petroleras en América Latina, ausencia del requisito de consulta previa a las comunidades locales y, finalmente, que el documento llame a una moratoria a la aplicación del fracking basándose en el principio precautorio.</w:t>
      </w:r>
    </w:p>
    <w:p w:rsidR="00993C56" w:rsidRPr="00993C56" w:rsidRDefault="00993C56" w:rsidP="00CA3626">
      <w:pPr>
        <w:pStyle w:val="NormalWeb"/>
        <w:jc w:val="both"/>
        <w:rPr>
          <w:color w:val="000000"/>
        </w:rPr>
      </w:pPr>
      <w:r w:rsidRPr="00993C56">
        <w:rPr>
          <w:color w:val="000000"/>
        </w:rPr>
        <w:t>La fuerte oposición al informe del Eurolat también movilizó a los sectores pro-fracking del continente. La senadora argentina, María de los Ángeles Higonet (Partido Justicialista, La Pampa), invitó a varios miembros del Eurolat a visitar el área Loma Campana, en Neuquén, para “promover una mesa de trabajo sobre el proyecto de informe” previo a la presentación de enmiendas. La gira, que incluyó una cena con el gobernador neuquino Jorge Sapag, inspiró fuertemente al colombiano Mauricio Gómez, a juzgar por sus declaraciones durante la asamblea del Eurolat realizada en junio en Bruselas. Durante la discusión en comisión, Gómez repitió varios de los argumentos de la publicidad de YPF: como que los químicos utilizados durante la fractura se encuentran en la mesa de cualquier familia, que el fracking es seguro y que la operación se realiza en una zona “desértica”. Para luego agregar que después de viajar a la Argentina, lo habló con su gobierno: “porque a mi presidente le interesa avanzar con el tema del fracking ya que nosotros tenemos reservas de gas”.</w:t>
      </w:r>
    </w:p>
    <w:p w:rsidR="00993C56" w:rsidRPr="00993C56" w:rsidRDefault="00993C56" w:rsidP="00CA3626">
      <w:pPr>
        <w:pStyle w:val="NormalWeb"/>
        <w:jc w:val="both"/>
        <w:rPr>
          <w:color w:val="000000"/>
        </w:rPr>
      </w:pPr>
      <w:r w:rsidRPr="00993C56">
        <w:rPr>
          <w:color w:val="000000"/>
        </w:rPr>
        <w:t>La masiva oposición empantanó el desarrollo del informe, que sus redactores buscaban aprobar durante 2015, debido a que 177 enmiendas presentadas obligaron a aplazar la votación para el próximo año. En su mayoría estas apuntan en la misma dirección que las críticas realizadas por las organizaciones de ambos continentes, llamando a aprobar una moratoria al fracking, lo que constituye un giro en 180 grados en el debate. “El informe va en la línea de promoción al fracking y por eso ha recibido más de 170 enmiendas, porque debe ser cambiado de arriba a abajo”, señaló el eurodiputado Ernest Urtasun, del partido ecosocialista catalán ICV, en diálogo con OPSur. Urtasún, que es co-vicepresidente del Eurolat, destacó la importancia que tienen estos espacios multilaterales para que los parlamentarios y la sociedad civil sean “capaces de poner cuestiones en la agenda que los gobernantes sino no pondrían”. En tanto su par Florent Marcellesi, del partido ecosocialista español EQUO, consideró que este debate se da en el marco de la disputa geopolítica por promover el fracking. “Más que una cosa local, esto es una búsqueda loca por tener algo de energía que nos permita seguir con el modelo energético. Y para eso tienes detrás un doble empujón: privado, de las multinacionales, y al mismo tiempo uno muy fuerte de lo público. Porque lo público no siempre es lo sostenible y eso lo podemos ver en América Latina, donde tienen un debate muy importante en torno al extractivismo”, aseguró.</w:t>
      </w:r>
    </w:p>
    <w:p w:rsidR="00993C56" w:rsidRPr="00993C56" w:rsidRDefault="00993C56" w:rsidP="00CA3626">
      <w:pPr>
        <w:pStyle w:val="NormalWeb"/>
        <w:jc w:val="both"/>
        <w:rPr>
          <w:color w:val="000000"/>
        </w:rPr>
      </w:pPr>
      <w:r w:rsidRPr="00993C56">
        <w:rPr>
          <w:color w:val="000000"/>
        </w:rPr>
        <w:lastRenderedPageBreak/>
        <w:t>El empuje público internacional se hace presente en la especulación que busca el avance de la energía extrema en la región. Este va más allá de Estados Unidos, como demuestra la discusión en el Eurolat: los no convencionales también tienen aliados europeos y apoyos locales que los posibilitan. Igualmente el Eurolat es un precedente para la resistencia al fracking, que busca que la región no sea usada como peón del tablero energético internacional.</w:t>
      </w:r>
    </w:p>
    <w:p w:rsidR="006659B7" w:rsidRPr="006659B7" w:rsidRDefault="006659B7" w:rsidP="00CA3626">
      <w:pPr>
        <w:pStyle w:val="NormalWeb"/>
        <w:jc w:val="both"/>
        <w:rPr>
          <w:b/>
          <w:color w:val="000000"/>
        </w:rPr>
      </w:pPr>
      <w:r w:rsidRPr="006659B7">
        <w:rPr>
          <w:b/>
          <w:color w:val="000000"/>
        </w:rPr>
        <w:t>Del Estudio Económico de América Latina y el Caribe</w:t>
      </w:r>
      <w:r w:rsidR="008C7D1B">
        <w:rPr>
          <w:b/>
          <w:color w:val="000000"/>
        </w:rPr>
        <w:t>, CEPAL</w:t>
      </w:r>
      <w:r w:rsidRPr="006659B7">
        <w:rPr>
          <w:b/>
          <w:color w:val="000000"/>
        </w:rPr>
        <w:t xml:space="preserve"> 2015</w:t>
      </w:r>
    </w:p>
    <w:p w:rsidR="006659B7" w:rsidRPr="006659B7" w:rsidRDefault="006659B7" w:rsidP="00CA3626">
      <w:pPr>
        <w:pStyle w:val="NormalWeb"/>
        <w:jc w:val="both"/>
        <w:rPr>
          <w:color w:val="000000"/>
        </w:rPr>
      </w:pPr>
      <w:r w:rsidRPr="006659B7">
        <w:rPr>
          <w:color w:val="000000"/>
        </w:rPr>
        <w:t>El precio de los productos energéticos (rubro compuesto por petróleo, gas natural y carbón), que se había</w:t>
      </w:r>
      <w:r>
        <w:rPr>
          <w:color w:val="000000"/>
        </w:rPr>
        <w:t xml:space="preserve"> </w:t>
      </w:r>
      <w:r w:rsidRPr="006659B7">
        <w:rPr>
          <w:color w:val="000000"/>
        </w:rPr>
        <w:t>caracterizado más bien por un estancamiento y un descenso gradual entre principios de 2011 y la primera mitad de</w:t>
      </w:r>
      <w:r>
        <w:rPr>
          <w:color w:val="000000"/>
        </w:rPr>
        <w:t xml:space="preserve"> </w:t>
      </w:r>
      <w:r w:rsidRPr="006659B7">
        <w:rPr>
          <w:color w:val="000000"/>
        </w:rPr>
        <w:t>2014, experimentó a partir de julio de ese año una drástica caída. En enero de 2015 alcanzó su punto más bajo, con</w:t>
      </w:r>
      <w:r>
        <w:rPr>
          <w:color w:val="000000"/>
        </w:rPr>
        <w:t xml:space="preserve"> </w:t>
      </w:r>
      <w:r w:rsidRPr="006659B7">
        <w:rPr>
          <w:color w:val="000000"/>
        </w:rPr>
        <w:t>una disminución del 52% en solo siete meses, principalmente debido a la caída del precio del petróleo crudo —el</w:t>
      </w:r>
      <w:r>
        <w:rPr>
          <w:color w:val="000000"/>
        </w:rPr>
        <w:t xml:space="preserve"> </w:t>
      </w:r>
      <w:r w:rsidRPr="006659B7">
        <w:rPr>
          <w:color w:val="000000"/>
        </w:rPr>
        <w:t>componente de mayor peso del índice de referencia—, que fue de cas</w:t>
      </w:r>
      <w:r>
        <w:rPr>
          <w:color w:val="000000"/>
        </w:rPr>
        <w:t>i un 60% en ese período</w:t>
      </w:r>
      <w:r>
        <w:rPr>
          <w:rStyle w:val="Refdenotaalpie"/>
          <w:color w:val="000000"/>
        </w:rPr>
        <w:footnoteReference w:id="11"/>
      </w:r>
      <w:r w:rsidRPr="006659B7">
        <w:rPr>
          <w:color w:val="000000"/>
        </w:rPr>
        <w:t>.</w:t>
      </w:r>
    </w:p>
    <w:p w:rsidR="006659B7" w:rsidRPr="006659B7" w:rsidRDefault="006659B7" w:rsidP="00CA3626">
      <w:pPr>
        <w:pStyle w:val="NormalWeb"/>
        <w:jc w:val="both"/>
        <w:rPr>
          <w:color w:val="000000"/>
        </w:rPr>
      </w:pPr>
      <w:r w:rsidRPr="006659B7">
        <w:rPr>
          <w:color w:val="000000"/>
        </w:rPr>
        <w:t>En las caídas de los precios de los productos básicos han incidido varios factores. Como se comentaba en</w:t>
      </w:r>
      <w:r>
        <w:rPr>
          <w:color w:val="000000"/>
        </w:rPr>
        <w:t xml:space="preserve"> </w:t>
      </w:r>
      <w:r w:rsidRPr="006659B7">
        <w:rPr>
          <w:color w:val="000000"/>
        </w:rPr>
        <w:t>publicaciones anteriores, se ha observado —por una parte— una merma de la demanda de estos productos a nivel</w:t>
      </w:r>
      <w:r>
        <w:rPr>
          <w:color w:val="000000"/>
        </w:rPr>
        <w:t xml:space="preserve"> </w:t>
      </w:r>
      <w:r w:rsidRPr="006659B7">
        <w:rPr>
          <w:color w:val="000000"/>
        </w:rPr>
        <w:t>mundial, vinculada principalmente a una desaceleración del crecimiento de la economía china, y —por otra parte—</w:t>
      </w:r>
      <w:r>
        <w:rPr>
          <w:color w:val="000000"/>
        </w:rPr>
        <w:t xml:space="preserve"> </w:t>
      </w:r>
      <w:r w:rsidRPr="006659B7">
        <w:rPr>
          <w:color w:val="000000"/>
        </w:rPr>
        <w:t>un aumento de la oferta de estos productos en el mundo, debido a las mayores inversiones que se realizaron en los</w:t>
      </w:r>
      <w:r>
        <w:rPr>
          <w:color w:val="000000"/>
        </w:rPr>
        <w:t xml:space="preserve"> </w:t>
      </w:r>
      <w:r w:rsidRPr="006659B7">
        <w:rPr>
          <w:color w:val="000000"/>
        </w:rPr>
        <w:t>sectores de los recursos naturales durante el período de auge de los precios de la última década. Pero, además de</w:t>
      </w:r>
      <w:r>
        <w:rPr>
          <w:color w:val="000000"/>
        </w:rPr>
        <w:t xml:space="preserve"> </w:t>
      </w:r>
      <w:r w:rsidRPr="006659B7">
        <w:rPr>
          <w:color w:val="000000"/>
        </w:rPr>
        <w:t>lo anterior, es indudable que existen también posibles factores especulativos detrás de la evolución de los precios</w:t>
      </w:r>
      <w:r>
        <w:rPr>
          <w:color w:val="000000"/>
        </w:rPr>
        <w:t xml:space="preserve"> </w:t>
      </w:r>
      <w:r w:rsidRPr="006659B7">
        <w:rPr>
          <w:color w:val="000000"/>
        </w:rPr>
        <w:t>de los productos básicos. En los últimos años, estos productos se han transformado en activos financieros, cuyos</w:t>
      </w:r>
      <w:r>
        <w:rPr>
          <w:color w:val="000000"/>
        </w:rPr>
        <w:t xml:space="preserve"> </w:t>
      </w:r>
      <w:r w:rsidRPr="006659B7">
        <w:rPr>
          <w:color w:val="000000"/>
        </w:rPr>
        <w:t>precios responden a cambios en las expectativas sobre las condiciones futuras del mercado, además de al estado</w:t>
      </w:r>
      <w:r>
        <w:rPr>
          <w:color w:val="000000"/>
        </w:rPr>
        <w:t xml:space="preserve"> </w:t>
      </w:r>
      <w:r w:rsidRPr="006659B7">
        <w:rPr>
          <w:color w:val="000000"/>
        </w:rPr>
        <w:t>real del mercado y de la demanda y la oferta. El creciente papel de los productos básicos como activos financieros</w:t>
      </w:r>
      <w:r>
        <w:rPr>
          <w:color w:val="000000"/>
        </w:rPr>
        <w:t xml:space="preserve"> </w:t>
      </w:r>
      <w:r w:rsidRPr="006659B7">
        <w:rPr>
          <w:color w:val="000000"/>
        </w:rPr>
        <w:t>se expresa, entre otros factores, en el hecho de que los precios de estos productos muestran un mayor grado de</w:t>
      </w:r>
      <w:r>
        <w:rPr>
          <w:color w:val="000000"/>
        </w:rPr>
        <w:t xml:space="preserve"> </w:t>
      </w:r>
      <w:r w:rsidRPr="006659B7">
        <w:rPr>
          <w:color w:val="000000"/>
        </w:rPr>
        <w:t>asociación (correlación) con los activos financieros más tradicionales como las acciones (Pérez-Caldentey, 2015).</w:t>
      </w:r>
    </w:p>
    <w:p w:rsidR="006659B7" w:rsidRPr="006659B7" w:rsidRDefault="006659B7" w:rsidP="00CA3626">
      <w:pPr>
        <w:pStyle w:val="NormalWeb"/>
        <w:jc w:val="both"/>
        <w:rPr>
          <w:color w:val="000000"/>
        </w:rPr>
      </w:pPr>
      <w:r w:rsidRPr="006659B7">
        <w:rPr>
          <w:color w:val="000000"/>
        </w:rPr>
        <w:t>En el caso particular del precio del petróleo, su dinámica se explica, asimismo, por factores específicos de ese</w:t>
      </w:r>
      <w:r>
        <w:rPr>
          <w:color w:val="000000"/>
        </w:rPr>
        <w:t xml:space="preserve"> </w:t>
      </w:r>
      <w:r w:rsidRPr="006659B7">
        <w:rPr>
          <w:color w:val="000000"/>
        </w:rPr>
        <w:t>mercado que se vinculan con la entrada en escena de los Estados Unidos como un productor a gran escala de crudo</w:t>
      </w:r>
      <w:r>
        <w:rPr>
          <w:color w:val="000000"/>
        </w:rPr>
        <w:t xml:space="preserve"> </w:t>
      </w:r>
      <w:r w:rsidRPr="006659B7">
        <w:rPr>
          <w:color w:val="000000"/>
        </w:rPr>
        <w:t>a partir de yacimientos y de tecnologías no convencionales (el llamado esquisto bituminoso). Desde finales de 2011</w:t>
      </w:r>
      <w:r>
        <w:rPr>
          <w:color w:val="000000"/>
        </w:rPr>
        <w:t xml:space="preserve"> </w:t>
      </w:r>
      <w:r w:rsidRPr="006659B7">
        <w:rPr>
          <w:color w:val="000000"/>
        </w:rPr>
        <w:t>hasta la primera mitad de 2014, la producción de crudo de los Estados Unidos creció de manera muy notoria y</w:t>
      </w:r>
      <w:r>
        <w:rPr>
          <w:color w:val="000000"/>
        </w:rPr>
        <w:t xml:space="preserve"> </w:t>
      </w:r>
      <w:r w:rsidRPr="006659B7">
        <w:rPr>
          <w:color w:val="000000"/>
        </w:rPr>
        <w:t>casi logró compensar las disminuciones de la producción que tuvieron lugar como consecuencia de los sucesivos</w:t>
      </w:r>
      <w:r>
        <w:rPr>
          <w:color w:val="000000"/>
        </w:rPr>
        <w:t xml:space="preserve"> </w:t>
      </w:r>
      <w:r w:rsidRPr="006659B7">
        <w:rPr>
          <w:color w:val="000000"/>
        </w:rPr>
        <w:t>conflictos geopolíticos que afectaron a las fuentes tradicionales de África del Norte y del Oriente Medio. De esta</w:t>
      </w:r>
      <w:r>
        <w:rPr>
          <w:color w:val="000000"/>
        </w:rPr>
        <w:t xml:space="preserve"> </w:t>
      </w:r>
      <w:r w:rsidRPr="006659B7">
        <w:rPr>
          <w:color w:val="000000"/>
        </w:rPr>
        <w:t xml:space="preserve">forma, el mercado mundial </w:t>
      </w:r>
      <w:r w:rsidRPr="006659B7">
        <w:rPr>
          <w:color w:val="000000"/>
        </w:rPr>
        <w:lastRenderedPageBreak/>
        <w:t>de crudo logró mantenerse durante esos años básicamente en equilibrio y el precio</w:t>
      </w:r>
      <w:r>
        <w:rPr>
          <w:color w:val="000000"/>
        </w:rPr>
        <w:t xml:space="preserve"> </w:t>
      </w:r>
      <w:r w:rsidRPr="006659B7">
        <w:rPr>
          <w:color w:val="000000"/>
        </w:rPr>
        <w:t>permaneció estable, en un pro</w:t>
      </w:r>
      <w:r>
        <w:rPr>
          <w:color w:val="000000"/>
        </w:rPr>
        <w:t>medio de 110 dólares por barril</w:t>
      </w:r>
      <w:r>
        <w:rPr>
          <w:rStyle w:val="Refdenotaalpie"/>
          <w:color w:val="000000"/>
        </w:rPr>
        <w:footnoteReference w:id="12"/>
      </w:r>
      <w:r w:rsidRPr="006659B7">
        <w:rPr>
          <w:color w:val="000000"/>
        </w:rPr>
        <w:t>.</w:t>
      </w:r>
    </w:p>
    <w:p w:rsidR="006659B7" w:rsidRDefault="006659B7" w:rsidP="00CA3626">
      <w:pPr>
        <w:pStyle w:val="NormalWeb"/>
        <w:jc w:val="both"/>
        <w:rPr>
          <w:color w:val="000000"/>
        </w:rPr>
      </w:pPr>
      <w:r w:rsidRPr="006659B7">
        <w:rPr>
          <w:color w:val="000000"/>
        </w:rPr>
        <w:t>A partir de la segunda mitad de 2014 se registró un superávit de oferta de crudo generado por los aumentos de la</w:t>
      </w:r>
      <w:r>
        <w:rPr>
          <w:color w:val="000000"/>
        </w:rPr>
        <w:t xml:space="preserve"> </w:t>
      </w:r>
      <w:r w:rsidRPr="006659B7">
        <w:rPr>
          <w:color w:val="000000"/>
        </w:rPr>
        <w:t>producción de los Estados Unidos, que superaron las mermas de la producción de las zonas petroleras en conflicto.</w:t>
      </w:r>
      <w:r>
        <w:rPr>
          <w:color w:val="000000"/>
        </w:rPr>
        <w:t xml:space="preserve"> </w:t>
      </w:r>
      <w:r w:rsidRPr="006659B7">
        <w:rPr>
          <w:color w:val="000000"/>
        </w:rPr>
        <w:t>Más allá de posibles factores especulativos, es indudable que este superávit de oferta es una causa importante de la</w:t>
      </w:r>
      <w:r>
        <w:rPr>
          <w:color w:val="000000"/>
        </w:rPr>
        <w:t xml:space="preserve"> </w:t>
      </w:r>
      <w:r w:rsidRPr="006659B7">
        <w:rPr>
          <w:color w:val="000000"/>
        </w:rPr>
        <w:t>caída del precio a partir de la segunda mitad de 2014.</w:t>
      </w:r>
      <w:r>
        <w:rPr>
          <w:color w:val="000000"/>
        </w:rPr>
        <w:t xml:space="preserve"> </w:t>
      </w:r>
    </w:p>
    <w:p w:rsidR="006659B7" w:rsidRPr="006659B7" w:rsidRDefault="006659B7" w:rsidP="00CA3626">
      <w:pPr>
        <w:pStyle w:val="NormalWeb"/>
        <w:jc w:val="both"/>
        <w:rPr>
          <w:color w:val="000000"/>
        </w:rPr>
      </w:pPr>
      <w:r w:rsidRPr="006659B7">
        <w:rPr>
          <w:color w:val="000000"/>
        </w:rPr>
        <w:t>Con respecto a lo que cabe esperar en relación con los precios de los productos básicos durante la segunda</w:t>
      </w:r>
      <w:r>
        <w:rPr>
          <w:color w:val="000000"/>
        </w:rPr>
        <w:t xml:space="preserve"> </w:t>
      </w:r>
      <w:r w:rsidRPr="006659B7">
        <w:rPr>
          <w:color w:val="000000"/>
        </w:rPr>
        <w:t>mitad de 2015, según las proyecciones de diversas fuentes, pareciera que se ha alcanzado un mínimo relativo y</w:t>
      </w:r>
      <w:r>
        <w:rPr>
          <w:color w:val="000000"/>
        </w:rPr>
        <w:t xml:space="preserve"> </w:t>
      </w:r>
      <w:r w:rsidRPr="006659B7">
        <w:rPr>
          <w:color w:val="000000"/>
        </w:rPr>
        <w:t>que, según el caso, los precios o bien se mantendrán en niveles similares a los actuales, o bien recuperarán parte</w:t>
      </w:r>
      <w:r>
        <w:rPr>
          <w:color w:val="000000"/>
        </w:rPr>
        <w:t xml:space="preserve"> </w:t>
      </w:r>
      <w:r w:rsidRPr="006659B7">
        <w:rPr>
          <w:color w:val="000000"/>
        </w:rPr>
        <w:t>del terreno perdido. En el caso del petróleo crudo, de hecho, ya en el mes de febrero se observó una reversión de</w:t>
      </w:r>
      <w:r>
        <w:rPr>
          <w:color w:val="000000"/>
        </w:rPr>
        <w:t xml:space="preserve"> </w:t>
      </w:r>
      <w:r w:rsidRPr="006659B7">
        <w:rPr>
          <w:color w:val="000000"/>
        </w:rPr>
        <w:t>la tendencia a la baja, principalmente a causa de la caída del número de pozos activos en los Estados Unidos. Esto</w:t>
      </w:r>
      <w:r>
        <w:rPr>
          <w:color w:val="000000"/>
        </w:rPr>
        <w:t xml:space="preserve"> </w:t>
      </w:r>
      <w:r w:rsidRPr="006659B7">
        <w:rPr>
          <w:color w:val="000000"/>
        </w:rPr>
        <w:t>último debiera continuar afectando los precios hasta finales de año, pero siempre manteniéndolos en un nivel que</w:t>
      </w:r>
      <w:r>
        <w:rPr>
          <w:color w:val="000000"/>
        </w:rPr>
        <w:t xml:space="preserve"> </w:t>
      </w:r>
      <w:r w:rsidRPr="006659B7">
        <w:rPr>
          <w:color w:val="000000"/>
        </w:rPr>
        <w:t>no superaría un valor de entre 65 y 70 dólares por barril, ya que, de lo contrario, la producción estadounidense</w:t>
      </w:r>
      <w:r>
        <w:rPr>
          <w:color w:val="000000"/>
        </w:rPr>
        <w:t xml:space="preserve"> </w:t>
      </w:r>
      <w:r w:rsidRPr="006659B7">
        <w:rPr>
          <w:color w:val="000000"/>
        </w:rPr>
        <w:t>respondería al alza. Se ha manejado incluso la hipótesis de que el precio del petróleo podría estabilizarse en</w:t>
      </w:r>
      <w:r>
        <w:rPr>
          <w:color w:val="000000"/>
        </w:rPr>
        <w:t xml:space="preserve"> </w:t>
      </w:r>
      <w:r w:rsidRPr="006659B7">
        <w:rPr>
          <w:color w:val="000000"/>
        </w:rPr>
        <w:t>los mencionados niveles por un período extendido de tiempo. Las consecuencias que esto podría tener para los</w:t>
      </w:r>
      <w:r>
        <w:rPr>
          <w:color w:val="000000"/>
        </w:rPr>
        <w:t xml:space="preserve"> </w:t>
      </w:r>
      <w:r w:rsidRPr="006659B7">
        <w:rPr>
          <w:color w:val="000000"/>
        </w:rPr>
        <w:t>países son diversas y dependen naturalmente de cuán dependientes sean las economías de las exportaciones o</w:t>
      </w:r>
      <w:r>
        <w:rPr>
          <w:color w:val="000000"/>
        </w:rPr>
        <w:t xml:space="preserve"> </w:t>
      </w:r>
      <w:r w:rsidRPr="006659B7">
        <w:rPr>
          <w:color w:val="000000"/>
        </w:rPr>
        <w:t>importaciones de petróleo.</w:t>
      </w:r>
    </w:p>
    <w:p w:rsidR="006659B7" w:rsidRDefault="006659B7" w:rsidP="00CA3626">
      <w:pPr>
        <w:pStyle w:val="NormalWeb"/>
        <w:jc w:val="both"/>
        <w:rPr>
          <w:color w:val="000000"/>
        </w:rPr>
      </w:pPr>
      <w:r w:rsidRPr="006659B7">
        <w:rPr>
          <w:color w:val="000000"/>
        </w:rPr>
        <w:t>A nivel mundial, sin embargo, se ha estimado que el efecto neto sería positivo en la medida en que los menores</w:t>
      </w:r>
      <w:r>
        <w:rPr>
          <w:color w:val="000000"/>
        </w:rPr>
        <w:t xml:space="preserve"> </w:t>
      </w:r>
      <w:r w:rsidRPr="006659B7">
        <w:rPr>
          <w:color w:val="000000"/>
        </w:rPr>
        <w:t>precios del petróleo se traducen en aumentos del consumo global y, en última instancia, en el crecimiento del</w:t>
      </w:r>
      <w:r>
        <w:rPr>
          <w:color w:val="000000"/>
        </w:rPr>
        <w:t xml:space="preserve"> producto</w:t>
      </w:r>
      <w:r>
        <w:rPr>
          <w:rStyle w:val="Refdenotaalpie"/>
          <w:color w:val="000000"/>
        </w:rPr>
        <w:footnoteReference w:id="13"/>
      </w:r>
      <w:r w:rsidRPr="006659B7">
        <w:rPr>
          <w:color w:val="000000"/>
        </w:rPr>
        <w:t>. Se mantienen varios factores de riesgo importantes que podrían afectar el precio al alza —los conflictos</w:t>
      </w:r>
      <w:r>
        <w:rPr>
          <w:color w:val="000000"/>
        </w:rPr>
        <w:t xml:space="preserve"> </w:t>
      </w:r>
      <w:r w:rsidRPr="006659B7">
        <w:rPr>
          <w:color w:val="000000"/>
        </w:rPr>
        <w:t>en Oriente Medio, la tensión entre la Federación de Rusia y Occidente, la mayor fortaleza del dólar— o bien a la</w:t>
      </w:r>
      <w:r>
        <w:rPr>
          <w:color w:val="000000"/>
        </w:rPr>
        <w:t xml:space="preserve"> </w:t>
      </w:r>
      <w:r w:rsidRPr="006659B7">
        <w:rPr>
          <w:color w:val="000000"/>
        </w:rPr>
        <w:t>baja —un nuevo aumento de la oferta de crudo, por ejemplo, debido al levantamiento de las sanciones a la República</w:t>
      </w:r>
      <w:r>
        <w:rPr>
          <w:color w:val="000000"/>
        </w:rPr>
        <w:t xml:space="preserve"> </w:t>
      </w:r>
      <w:r w:rsidRPr="006659B7">
        <w:rPr>
          <w:color w:val="000000"/>
        </w:rPr>
        <w:t>Islámica del Irán— entre otros factores posibles</w:t>
      </w:r>
      <w:r w:rsidR="0091171C">
        <w:rPr>
          <w:color w:val="000000"/>
        </w:rPr>
        <w:t>.</w:t>
      </w:r>
    </w:p>
    <w:p w:rsidR="009F2230" w:rsidRDefault="0091171C" w:rsidP="00CA3626">
      <w:pPr>
        <w:shd w:val="clear" w:color="auto" w:fill="FFFBF0"/>
        <w:spacing w:after="400"/>
        <w:jc w:val="both"/>
        <w:rPr>
          <w:rFonts w:ascii="Times New Roman" w:eastAsia="Times New Roman" w:hAnsi="Times New Roman"/>
          <w:b/>
          <w:color w:val="1F1F1F"/>
          <w:sz w:val="24"/>
          <w:szCs w:val="24"/>
          <w:lang w:eastAsia="es-CL"/>
        </w:rPr>
      </w:pPr>
      <w:r w:rsidRPr="00CE5943">
        <w:rPr>
          <w:rFonts w:ascii="Times New Roman" w:eastAsia="Times New Roman" w:hAnsi="Times New Roman"/>
          <w:b/>
          <w:color w:val="1F1F1F"/>
          <w:sz w:val="24"/>
          <w:szCs w:val="24"/>
          <w:lang w:eastAsia="es-CL"/>
        </w:rPr>
        <w:t xml:space="preserve">Venezuela expone en Viena su plan para subir precio del petróleo </w:t>
      </w:r>
    </w:p>
    <w:p w:rsidR="0091171C" w:rsidRPr="009F2230" w:rsidRDefault="0091171C"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Fonts w:ascii="Times New Roman" w:hAnsi="Times New Roman"/>
          <w:b/>
          <w:color w:val="666666"/>
          <w:sz w:val="24"/>
          <w:szCs w:val="24"/>
          <w:shd w:val="clear" w:color="auto" w:fill="FFFBF0"/>
        </w:rPr>
        <w:t>Por</w:t>
      </w:r>
      <w:r w:rsidR="009F2230">
        <w:rPr>
          <w:rStyle w:val="apple-converted-space"/>
          <w:rFonts w:ascii="Times New Roman" w:hAnsi="Times New Roman"/>
          <w:b/>
          <w:color w:val="666666"/>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EFE, 21 de octubre de 2015</w:t>
      </w:r>
    </w:p>
    <w:p w:rsidR="003D2148"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El ministro venezolano de Petróleo, Eulogio Del Pino, propuso hoy en Viena fijar una media de US$ 88 para el barril de crudo con el fin de equilibrar el mercado, sin plantear en estos momentos una reducción de la producci</w:t>
      </w:r>
      <w:r>
        <w:rPr>
          <w:rStyle w:val="Textoennegrita"/>
          <w:rFonts w:ascii="Times New Roman" w:hAnsi="Times New Roman"/>
          <w:b w:val="0"/>
          <w:color w:val="000000"/>
          <w:sz w:val="24"/>
          <w:szCs w:val="24"/>
          <w:shd w:val="clear" w:color="auto" w:fill="FFFBF0"/>
        </w:rPr>
        <w:t xml:space="preserve">ón petrolera. </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lastRenderedPageBreak/>
        <w:t>El plan del presidente de venezolano, Nicolás Maduro, se centra "en un concepto de un precio de equilibrio (...) que garantice la sostenibilidad de la producción", dijo Del Pino a la prensa en la sede de la Organización de Países Productores de Petróleo (OPEP).</w:t>
      </w:r>
      <w:r w:rsidR="003D2148">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Aseguró que la propuesta, expuesta ante representantes de países productores de crudo miembros y no miembros de la OPEP reunidos en un encuentro "técnico" en la capital austríaca, fue bien recibida, si bien concluyeron que requiere aún de estudios más detallados y que diferencien la situación en las diversas regiones.</w:t>
      </w:r>
    </w:p>
    <w:p w:rsid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Del Pino dejó claro que su país no está proponiendo en estos momentos un recorte de la producción.</w:t>
      </w:r>
      <w:r>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"No estamos hablando de aplicar cortes. Estamos hablando de a qué precio vamos a sostener" la producción necesaria para satisfacer la demanda mundial de crudo, precisó.</w:t>
      </w:r>
      <w:r w:rsidR="008C7D1B">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"Por ahora, preferimos mantenernos en unos niveles de discusión técnica", añadió el también presidente de la estatal Petróleos de Venezuela (PDVSA), quien habló de la posibilidad de una nueva reunión a finales de noviembre, también técnica y con competidores de la OPEP, para hacer un estudio "más en profundidad".</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El ministro advirtió del riesgo de ciclos de volatilidad extrema de los precios cuando éstos son demasiado bajos y por ello los proyectos e inversiones en el sector dejan de ser rentables.</w:t>
      </w:r>
      <w:r>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Con el tiempo la oferta cae y el consumo aumenta en proporciones que provocan un encarecimiento demasiado alto de la materia prima.</w:t>
      </w:r>
      <w:r w:rsidR="008C7D1B">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"Lo que nosotros planteamos es que eso no es bueno ni para los consumidores ni para los productores", señaló el ministro, quien insistió en la necesidad de tener "precios que sean económicamente rentables para la reposición de la producción".</w:t>
      </w:r>
      <w:r w:rsidR="003D2148">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En ese sentido, habló de tener en cuenta que ya ahora, tras el desplome en cerca del 50 por ciento del valor del oro negro desde mediados de 2014, se registran caídas de las extracciones en regiones y métodos de altos costes de producción.</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La iniciativa venezolana contempla que se producirá una reducción de la producción mundial de crudo del 10 % si la cotización actual del barril se mantiene a menos de 50 dólares, indicó.</w:t>
      </w:r>
      <w:r w:rsidR="009A080A">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Destacó que esa caída es considerable en el petróleo de lutita o esquisto, explotado mediante la fracturación hidráulica, cuyo auge en Estados Unidos es considerado uno de los factores del fuerte abaratamiento del crudo.</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Ante el aumento de esa y otras producciones ajenas a la OPEP, la organización decidió en noviembre pasado defender su participación de mercado a costa de los precios y dejó que siguieran bajando.</w:t>
      </w:r>
      <w:r w:rsidR="003D2148">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Varios socios de la organización, entre ellos Arabia Saudí, el mayor exportador mundial de crudo, han aumentado su bombeo hasta batir en septiembre, en el conjunto de los doce miembros, un récord de 31,5 millones de barriles diarios (mbd), según el último informe de la organización.</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Los observadores del sector estiman que la nueva estrategia del grupo está surtiendo el efecto deseado de provocar un retroceso de la oferta de sus competidores.</w:t>
      </w:r>
      <w:r w:rsidR="009A080A">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A pesar de ese fenómeno, no se divisa una reducción de la producción mundial de petróleo al menos en el próximo año, cuando se prevé que las caídas en algunas regiones serán compensadas por nuevos barriles de otras fuentes.</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lastRenderedPageBreak/>
        <w:t>Así, los mercados cuentan con unos 500.000 barriles adicionales por día de Irán en la primera mitad de 2016, al anularse las sanciones petroleras impuestas por las potencias occidentales, tras el acuerdo alcanzado con ellas en julio sobre su polémico programa nuclear.</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En la reunión de hoy, de la que los mercados no esperaban ninguna decisión que influyera sobre los precios, participó también el ministro de Hidrocarburos de Ecuador, Pedro Merizalde-Pavón, así como representantes de la mayoría de los socios de la OPEP (estuvieron ausentes Irak y Libia) y de no miembros como Rusia, Colombia y México, entre otros.</w:t>
      </w:r>
    </w:p>
    <w:p w:rsidR="009F2230" w:rsidRPr="009F2230" w:rsidRDefault="009F2230" w:rsidP="00CA3626">
      <w:pPr>
        <w:shd w:val="clear" w:color="auto" w:fill="FFFBF0"/>
        <w:spacing w:after="400"/>
        <w:jc w:val="both"/>
        <w:rPr>
          <w:rStyle w:val="Textoennegrita"/>
          <w:rFonts w:ascii="Times New Roman" w:hAnsi="Times New Roman"/>
          <w:b w:val="0"/>
          <w:color w:val="000000"/>
          <w:sz w:val="24"/>
          <w:szCs w:val="24"/>
          <w:shd w:val="clear" w:color="auto" w:fill="FFFBF0"/>
        </w:rPr>
      </w:pPr>
      <w:r w:rsidRPr="009F2230">
        <w:rPr>
          <w:rStyle w:val="Textoennegrita"/>
          <w:rFonts w:ascii="Times New Roman" w:hAnsi="Times New Roman"/>
          <w:b w:val="0"/>
          <w:color w:val="000000"/>
          <w:sz w:val="24"/>
          <w:szCs w:val="24"/>
          <w:shd w:val="clear" w:color="auto" w:fill="FFFBF0"/>
        </w:rPr>
        <w:t>El ministro venezolano confirmó que, además de exponer la propuesta venezolana, informó a los participantes de la invitación cursada ayer por Maduro a los jefes de Estado de los productores para organizar una cumbre sobre el petróleo.</w:t>
      </w:r>
      <w:r w:rsidR="009A080A">
        <w:rPr>
          <w:rStyle w:val="Textoennegrita"/>
          <w:rFonts w:ascii="Times New Roman" w:hAnsi="Times New Roman"/>
          <w:b w:val="0"/>
          <w:color w:val="000000"/>
          <w:sz w:val="24"/>
          <w:szCs w:val="24"/>
          <w:shd w:val="clear" w:color="auto" w:fill="FFFBF0"/>
        </w:rPr>
        <w:t xml:space="preserve"> </w:t>
      </w:r>
      <w:r w:rsidRPr="009F2230">
        <w:rPr>
          <w:rStyle w:val="Textoennegrita"/>
          <w:rFonts w:ascii="Times New Roman" w:hAnsi="Times New Roman"/>
          <w:b w:val="0"/>
          <w:color w:val="000000"/>
          <w:sz w:val="24"/>
          <w:szCs w:val="24"/>
          <w:shd w:val="clear" w:color="auto" w:fill="FFFBF0"/>
        </w:rPr>
        <w:t>La próxima conferencia ministerial de la OPEP está convocada para el 4 de diciembre próximo en Viena.</w:t>
      </w:r>
    </w:p>
    <w:p w:rsidR="0091171C" w:rsidRPr="00CE5943"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CE5943">
        <w:rPr>
          <w:rFonts w:ascii="Times New Roman" w:eastAsia="Times New Roman" w:hAnsi="Times New Roman"/>
          <w:color w:val="1F1F1F"/>
          <w:sz w:val="24"/>
          <w:szCs w:val="24"/>
          <w:lang w:eastAsia="es-CL"/>
        </w:rPr>
        <w:t>Los precios han descendido por debajo de los 50 dólares el barril, desde los más de 110 dólares registrados a mediados de 2014, entre otras causas, debido al superávit de la oferta mundial.</w:t>
      </w:r>
      <w:r w:rsidRPr="009F2230">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La OPEP está bombeando actualmente 31,57 millones de barriles diarios, muy por encima de los 30 millones que se autoimpuso en el papel, contribuyendo así a la caída de precios que no se estabiliza</w:t>
      </w:r>
      <w:r w:rsidRPr="009F2230">
        <w:rPr>
          <w:rFonts w:ascii="Times New Roman" w:eastAsia="Times New Roman" w:hAnsi="Times New Roman"/>
          <w:color w:val="1F1F1F"/>
          <w:sz w:val="24"/>
          <w:szCs w:val="24"/>
          <w:lang w:eastAsia="es-CL"/>
        </w:rPr>
        <w:t>n</w:t>
      </w:r>
      <w:r w:rsidRPr="00CE5943">
        <w:rPr>
          <w:rFonts w:ascii="Times New Roman" w:eastAsia="Times New Roman" w:hAnsi="Times New Roman"/>
          <w:color w:val="1F1F1F"/>
          <w:sz w:val="24"/>
          <w:szCs w:val="24"/>
          <w:lang w:eastAsia="es-CL"/>
        </w:rPr>
        <w:t>.</w:t>
      </w:r>
      <w:r w:rsidRPr="009F2230">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"La actual inestabilidad repercute directamente en las economías de productores y (especialmente) nuestros países del sur, y amenaza con hacer inviables las inversiones necesarias para el sostenimiento en el mediano plazo de la producción petrolera global", alertó Maduro.</w:t>
      </w:r>
    </w:p>
    <w:p w:rsidR="0091171C" w:rsidRPr="00CE5943"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CE5943">
        <w:rPr>
          <w:rFonts w:ascii="Times New Roman" w:eastAsia="Times New Roman" w:hAnsi="Times New Roman"/>
          <w:color w:val="1F1F1F"/>
          <w:sz w:val="24"/>
          <w:szCs w:val="24"/>
          <w:lang w:eastAsia="es-CL"/>
        </w:rPr>
        <w:t>Con la intención de frenar el repunte de la oferta y la consiguiente caída de los precios, el Gobierno venezolano ha efectuado este año tres giras internacionales, dos presidenciales y una encabezada por su canciller, Delcy Rodríguez, por países de la OPEP y otros que no forman parte del cartel.</w:t>
      </w:r>
      <w:r w:rsidRPr="009F2230">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En otros casos, Maduro, Rodríguez y Del Pino han recibido en Caracas a diferentes autoridades de países petroleros, miembros y no de la OPEP.</w:t>
      </w:r>
    </w:p>
    <w:p w:rsidR="0091171C" w:rsidRPr="00CE5943"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CE5943">
        <w:rPr>
          <w:rFonts w:ascii="Times New Roman" w:eastAsia="Times New Roman" w:hAnsi="Times New Roman"/>
          <w:color w:val="1F1F1F"/>
          <w:sz w:val="24"/>
          <w:szCs w:val="24"/>
          <w:lang w:eastAsia="es-CL"/>
        </w:rPr>
        <w:t>En una última gira por Rusia, China y otras naciones el mes pasado, Maduro repitió que los productores deben encontrar alguna fórmula que reconozca la relación directa que existe entre el precio y el hecho de que el crudo es un recurso natural no renovable de alto impacto en la dinámica contemporánea productiva global.</w:t>
      </w:r>
    </w:p>
    <w:p w:rsidR="0091171C" w:rsidRPr="00CE5943"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CE5943">
        <w:rPr>
          <w:rFonts w:ascii="Times New Roman" w:eastAsia="Times New Roman" w:hAnsi="Times New Roman"/>
          <w:color w:val="1F1F1F"/>
          <w:sz w:val="24"/>
          <w:szCs w:val="24"/>
          <w:lang w:eastAsia="es-CL"/>
        </w:rPr>
        <w:t xml:space="preserve">Es decir, se trata de "la valorización justa de tan importante recurso", que además de la dinámica propia de la oferta y la demanda, registra adicionalmente "actuaciones decisivas" </w:t>
      </w:r>
      <w:r w:rsidR="00A375BE">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de factores especulativos, a decir de Maduro.</w:t>
      </w:r>
      <w:r w:rsidR="00A375BE">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Sea una banda de precios o al menos la fijación de "un precio base" mínimo, que incluso podría ser cambiante, según el área geográfica donde se produzca cada barril, se trata de que los productores acuerden "responsablemente" qué hacer, ha dicho Maduro.</w:t>
      </w:r>
    </w:p>
    <w:p w:rsidR="0091171C" w:rsidRPr="00CE5943"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CE5943">
        <w:rPr>
          <w:rFonts w:ascii="Times New Roman" w:eastAsia="Times New Roman" w:hAnsi="Times New Roman"/>
          <w:color w:val="1F1F1F"/>
          <w:sz w:val="24"/>
          <w:szCs w:val="24"/>
          <w:lang w:eastAsia="es-CL"/>
        </w:rPr>
        <w:lastRenderedPageBreak/>
        <w:t>Antes del encuentro este miércoles y jueves en Viena, Maduro dijo que debe realizarse una cumbre que "tiene que ser de jefes de Estado", porque se deben "tomar decisiones" al más alto nivel.</w:t>
      </w:r>
      <w:r w:rsidRPr="009F2230">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La OPEP debe asumir un papel de "nuevo motor de una nueva alianza" entre productores, opinó el gobernante de Venezuela, país que junto a Ecuador son los dos únicos de Suramérica que integran el cartel y que tienen políticas petroleras coincidentes.</w:t>
      </w:r>
      <w:r w:rsidR="00A375BE">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Maduro ha sostenido varias reuniones este año con las autoridades de Rusia en ese empeño, incluido su colega, Vladímir Putin, pero tras ellas el ministro ruso de Energía, Alexandr Nóvak, alertó que Rusia discrepa con los llamamientos a reducir la producción.</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CE5943">
        <w:rPr>
          <w:rFonts w:ascii="Times New Roman" w:eastAsia="Times New Roman" w:hAnsi="Times New Roman"/>
          <w:color w:val="1F1F1F"/>
          <w:sz w:val="24"/>
          <w:szCs w:val="24"/>
          <w:lang w:eastAsia="es-CL"/>
        </w:rPr>
        <w:t>"Cada cierto tiempo Venezuela, Argelia y Ecuador se dirigen a nosotros, pero nuestra posición no ha cambiado: consideramos que una reducción artificial no traerá ningún beneficio. Al contrario, sólo agravará la situación", dijo Nóvak el 16 de septiembre pasado.</w:t>
      </w:r>
      <w:r w:rsidR="00A375BE">
        <w:rPr>
          <w:rFonts w:ascii="Times New Roman" w:eastAsia="Times New Roman" w:hAnsi="Times New Roman"/>
          <w:color w:val="1F1F1F"/>
          <w:sz w:val="24"/>
          <w:szCs w:val="24"/>
          <w:lang w:eastAsia="es-CL"/>
        </w:rPr>
        <w:t xml:space="preserve"> </w:t>
      </w:r>
      <w:r w:rsidRPr="00CE5943">
        <w:rPr>
          <w:rFonts w:ascii="Times New Roman" w:eastAsia="Times New Roman" w:hAnsi="Times New Roman"/>
          <w:color w:val="1F1F1F"/>
          <w:sz w:val="24"/>
          <w:szCs w:val="24"/>
          <w:lang w:eastAsia="es-CL"/>
        </w:rPr>
        <w:t>Esa política de contracción de la oferta "puede producir algún efecto a corto plazo, pero no en un futuro", añadió.</w:t>
      </w:r>
    </w:p>
    <w:p w:rsidR="0091171C" w:rsidRPr="009F2230" w:rsidRDefault="0091171C" w:rsidP="00CA3626">
      <w:pPr>
        <w:shd w:val="clear" w:color="auto" w:fill="FFFBF0"/>
        <w:spacing w:after="400"/>
        <w:jc w:val="both"/>
        <w:rPr>
          <w:rFonts w:ascii="Times New Roman" w:eastAsia="Times New Roman" w:hAnsi="Times New Roman"/>
          <w:b/>
          <w:color w:val="1F1F1F"/>
          <w:sz w:val="24"/>
          <w:szCs w:val="24"/>
          <w:lang w:eastAsia="es-CL"/>
        </w:rPr>
      </w:pPr>
      <w:r w:rsidRPr="009F2230">
        <w:rPr>
          <w:rFonts w:ascii="Times New Roman" w:eastAsia="Times New Roman" w:hAnsi="Times New Roman"/>
          <w:b/>
          <w:color w:val="1F1F1F"/>
          <w:sz w:val="24"/>
          <w:szCs w:val="24"/>
          <w:lang w:eastAsia="es-CL"/>
        </w:rPr>
        <w:t>El Banco Mundial rebaja su previsión del precio del petróleo a US$ 52 en 2015</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EFE, 20 de octubre de 2015</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El Banco Mundial (BM) revisó hoy a la baja sus previsiones sobre el precio medio barril de petróleo hasta US$ 52 para 2015, arrastrado aún más por la ralentización global, las elevadas existencias actuales y el reingreso en el mercado de las exportaciones de Irán tras el fin de las sanciones. En sus anteriores cálculos, publicados en el informe del organismo internacional de julio pasado, había situado el precio medio del barril de petróleo este año en US$ 57.</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Los precios de la energía, petróleo y gas, se espera que cierren 2015 un 43% por debajo de 2014; mientras que para 2016 el BM calcula un precio medio de US$ 51.</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"El progresivo descenso de cinco años en la mayor parte de las materias primas continuará en el tercer trimestre de 2015. Hay suficientes existencias y la demanda es débil, especialmente por las materias primas industriales, por lo que los precios pueden mantenerse persistentemente bajos", aseguró John Baffes, autor del informe trimestral sobre materias primas.</w:t>
      </w:r>
    </w:p>
    <w:p w:rsidR="003A334A"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En concreto, uno de los aspectos que causa este descenso de precios es el reciente acuerdo nuclear de Irán con las grandes potencias que permitirá que, "en unos meses, Irán pueda incrementar su producción de crudo en torno a 500.000 y 700.000 barriles al día, hasta alcanzar el nivel de 2011 antes de la imposición de sanciones internacionales de 3,6 millones de barriles al día".</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 xml:space="preserve">El acuerdo alcanzado en julio por el G5+1 (EEUU, Reino Unido, Rusia, China y Francia más Alemania) con Irán busca controlar las actividades nucleares de ese país para que no </w:t>
      </w:r>
      <w:r w:rsidRPr="009F2230">
        <w:rPr>
          <w:rFonts w:ascii="Times New Roman" w:eastAsia="Times New Roman" w:hAnsi="Times New Roman"/>
          <w:color w:val="1F1F1F"/>
          <w:sz w:val="24"/>
          <w:szCs w:val="24"/>
          <w:lang w:eastAsia="es-CL"/>
        </w:rPr>
        <w:lastRenderedPageBreak/>
        <w:t>desarrolle armas atómicas, a cambio de levantar las sanciones internacionales que ahogan su economía.</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Además, Irán podrá comenzar a exportar de manera inmediata sus 40 millones de barriles almacenados, y a esto se suma el enorme potencial en el sector de gas, al contar con las mayores reservas del mundo con un 18%. Los retos para Irán son ahora, subrayó Ayhan Kose, director del Grupo de Previsiones de Desarrollo del BM, atraer "la necesaria inversión extranjera y la tecnología para aprovechar sus sustanciales reservas".</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Los precios de los metales continuaron su cuarto descenso trimestral consecutivo, debido a la menor demanda, principalmente de China, y el organismo internacional prevé un caída del 16% a finales de 2015.</w:t>
      </w:r>
    </w:p>
    <w:p w:rsidR="0091171C" w:rsidRPr="009F2230"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F2230">
        <w:rPr>
          <w:rFonts w:ascii="Times New Roman" w:eastAsia="Times New Roman" w:hAnsi="Times New Roman"/>
          <w:color w:val="1F1F1F"/>
          <w:sz w:val="24"/>
          <w:szCs w:val="24"/>
          <w:lang w:eastAsia="es-CL"/>
        </w:rPr>
        <w:t>La agencia de calificación Moody's espera que el precio del crudo Brent, de referencia en Europa, se sitúe el año que viene en los US$ 53, cuatro dólares menos que en la anterior previsión, y en los US$ 60 en 2017, cinco dólares men</w:t>
      </w:r>
      <w:r w:rsidR="009F2230" w:rsidRPr="009F2230">
        <w:rPr>
          <w:rFonts w:ascii="Times New Roman" w:eastAsia="Times New Roman" w:hAnsi="Times New Roman"/>
          <w:color w:val="1F1F1F"/>
          <w:sz w:val="24"/>
          <w:szCs w:val="24"/>
          <w:lang w:eastAsia="es-CL"/>
        </w:rPr>
        <w:t xml:space="preserve">os que en el último pronóstico. </w:t>
      </w:r>
      <w:r w:rsidRPr="009F2230">
        <w:rPr>
          <w:rFonts w:ascii="Times New Roman" w:eastAsia="Times New Roman" w:hAnsi="Times New Roman"/>
          <w:color w:val="1F1F1F"/>
          <w:sz w:val="24"/>
          <w:szCs w:val="24"/>
          <w:lang w:eastAsia="es-CL"/>
        </w:rPr>
        <w:t>Por otro lado, para el crudo West Texas, de referencia en EEUU, la agencia prevé que en 2016 su precio sea de US$ 48 (cuatro menos que la anterior estimación), mientras que en 2017 subirá hasta los US$ 55, cinco menos que en la última previsión.</w:t>
      </w:r>
    </w:p>
    <w:p w:rsidR="0091171C" w:rsidRPr="0091171C"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1171C">
        <w:rPr>
          <w:rFonts w:ascii="Times New Roman" w:eastAsia="Times New Roman" w:hAnsi="Times New Roman"/>
          <w:color w:val="1F1F1F"/>
          <w:sz w:val="24"/>
          <w:szCs w:val="24"/>
          <w:lang w:eastAsia="es-CL"/>
        </w:rPr>
        <w:t>Steve Wood, uno de los analistas de la agencia estadounidense, cree "que los precios se mantendrán bajos durante un periodo más largo, ya que la acumulación de inventarios hará que los precios suban a menor ritmo".</w:t>
      </w:r>
      <w:r w:rsidR="009F2230">
        <w:rPr>
          <w:rFonts w:ascii="Times New Roman" w:eastAsia="Times New Roman" w:hAnsi="Times New Roman"/>
          <w:color w:val="1F1F1F"/>
          <w:sz w:val="24"/>
          <w:szCs w:val="24"/>
          <w:lang w:eastAsia="es-CL"/>
        </w:rPr>
        <w:t xml:space="preserve"> </w:t>
      </w:r>
      <w:r w:rsidRPr="0091171C">
        <w:rPr>
          <w:rFonts w:ascii="Times New Roman" w:eastAsia="Times New Roman" w:hAnsi="Times New Roman"/>
          <w:color w:val="1F1F1F"/>
          <w:sz w:val="24"/>
          <w:szCs w:val="24"/>
          <w:lang w:eastAsia="es-CL"/>
        </w:rPr>
        <w:t>En este sentido, la agencia dice que el incremento de las exportaciones iraníes "podría suponer una presión añadida sobre los precios".</w:t>
      </w:r>
    </w:p>
    <w:p w:rsidR="003A334A" w:rsidRDefault="0091171C" w:rsidP="00CA3626">
      <w:pPr>
        <w:shd w:val="clear" w:color="auto" w:fill="FFFBF0"/>
        <w:spacing w:after="400"/>
        <w:jc w:val="both"/>
        <w:rPr>
          <w:rFonts w:ascii="Times New Roman" w:eastAsia="Times New Roman" w:hAnsi="Times New Roman"/>
          <w:color w:val="1F1F1F"/>
          <w:sz w:val="24"/>
          <w:szCs w:val="24"/>
          <w:lang w:eastAsia="es-CL"/>
        </w:rPr>
      </w:pPr>
      <w:r w:rsidRPr="0091171C">
        <w:rPr>
          <w:rFonts w:ascii="Times New Roman" w:eastAsia="Times New Roman" w:hAnsi="Times New Roman"/>
          <w:color w:val="1F1F1F"/>
          <w:sz w:val="24"/>
          <w:szCs w:val="24"/>
          <w:lang w:eastAsia="es-CL"/>
        </w:rPr>
        <w:t>Las expectativas a medio plazo de Moody's apuntan a que el equilibrio entre oferta y demanda se situará en los US$ 75 para el crudo Brent y en los US$ 70 para el West Texas, aunque no prevé que estos precios se alcancen en los próximos años</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b/>
          <w:color w:val="1F1F1F"/>
          <w:sz w:val="24"/>
          <w:szCs w:val="24"/>
          <w:lang w:eastAsia="es-CL"/>
        </w:rPr>
        <w:t>El precio del petróleo y el crecimiento global</w:t>
      </w:r>
    </w:p>
    <w:p w:rsidR="003A334A" w:rsidRPr="003A334A" w:rsidRDefault="003A334A" w:rsidP="00CA3626">
      <w:pPr>
        <w:shd w:val="clear" w:color="auto" w:fill="FFFBF0"/>
        <w:spacing w:after="400"/>
        <w:jc w:val="both"/>
        <w:rPr>
          <w:rFonts w:ascii="Times New Roman" w:eastAsia="Times New Roman" w:hAnsi="Times New Roman"/>
          <w:b/>
          <w:color w:val="1F1F1F"/>
          <w:sz w:val="24"/>
          <w:szCs w:val="24"/>
          <w:lang w:eastAsia="es-CL"/>
        </w:rPr>
      </w:pPr>
      <w:hyperlink r:id="rId15" w:history="1">
        <w:r w:rsidRPr="003A334A">
          <w:rPr>
            <w:rStyle w:val="Hipervnculo"/>
            <w:rFonts w:ascii="Times New Roman" w:hAnsi="Times New Roman"/>
            <w:sz w:val="24"/>
            <w:szCs w:val="24"/>
          </w:rPr>
          <w:t>www.project-syndicate.org</w:t>
        </w:r>
      </w:hyperlink>
      <w:r w:rsidRPr="003A334A">
        <w:rPr>
          <w:rFonts w:ascii="Times New Roman" w:hAnsi="Times New Roman"/>
          <w:color w:val="000000"/>
          <w:sz w:val="24"/>
          <w:szCs w:val="24"/>
        </w:rPr>
        <w:t xml:space="preserve">, </w:t>
      </w:r>
      <w:r w:rsidRPr="003A334A">
        <w:rPr>
          <w:rFonts w:ascii="Times New Roman" w:eastAsia="Times New Roman" w:hAnsi="Times New Roman"/>
          <w:bCs/>
          <w:color w:val="000000"/>
          <w:sz w:val="24"/>
          <w:szCs w:val="24"/>
          <w:lang w:eastAsia="es-CL"/>
        </w:rPr>
        <w:t>Kenneth Rogoff, Cambridge,</w:t>
      </w:r>
      <w:r>
        <w:rPr>
          <w:rFonts w:ascii="Times New Roman" w:eastAsia="Times New Roman" w:hAnsi="Times New Roman"/>
          <w:bCs/>
          <w:color w:val="000000"/>
          <w:sz w:val="24"/>
          <w:szCs w:val="24"/>
          <w:lang w:eastAsia="es-CL"/>
        </w:rPr>
        <w:t xml:space="preserve"> 14 de diciembre de 2015</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Una de las mayores sorpresas económicas de 2015 es que la asombrosa caída de la cotización mundial del petróleo no haya estimulado más el crecimiento global. A pesar del derrumbe de precios (de más de 115 dólares por barril en junio de 2014 a 45 dólares a fines de noviembre de 2015), la mayoría de los modelos macroeconómicos indican que el efecto sobre el crecimiento global fue menor al esperado: tal vez solo un 0,5% del PIB mundial.</w:t>
      </w:r>
    </w:p>
    <w:p w:rsid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La buena noticia es que este oportuno pero limitado estímulo al crecimiento probablemente se extienda más allá de 2016. La mala noticia es que el abaratamiento del petróleo crea más presiones para los principales países exportadores.</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lastRenderedPageBreak/>
        <w:t>La reciente caída del precio del petróleo es similar a la que se produjo en 1985 y 1986 por un aumento de la oferta, cuando los países de la OPEP (léase: Arabia Saudita) decidieron liberar producción para recuperar cuota de mercado. También es comparable al derrumbe de 2008 y 2009 por una menor demanda después de la crisis financiera global. En la medida en que un abaratamiento del petróleo responde a la demanda, no cabe esperar un efecto positivo importante, ya que el precio del petróleo opera más como un estabilizador automático que como una fuerza exógena que rija la economía global. Pero de un shock de oferta puede esperarse un considerable impacto positivo.</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Si bien el shock de 2014 y 2015 no es tan fácil de analizar como los dos episodios anteriores, parece que en este caso las variaciones de la demanda y de la oferta corren parejas en influencia. Está claro que el vuelco de China hacia una política de fomentar el consumo interno desinfló todos los commodities a escala internacional; por ejemplo, los metales también tuvieron una caída abrupta en 2015. (El precio del oro, 1050 dólares por onza a fines de noviembre, está muy lejos del máximo de casi 1890 dólares al que llegó en septiembre de 2011; el abaratamiento del cobre desde 2011 es casi idéntico.)</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Pero un factor que influye al menos tanto es la oferta de nuevas fuentes de petróleo. La revolución de las fuentes no convencionales permitió aumentar la producción estadounidense de cinco millones de barriles por día en 2008 a 9,3 millones de barriles en 2015; y este boom de la oferta se mantiene a pesar del derrumbe de precios. Las expectativas de levantamiento de sanciones a Irán también repercutieron en los mercados.</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El abaratamiento del petróleo es hasta cierto punto un juego de suma cero en el que los productores pierden y los consumidores ganan. En general se considera que la caída de precios estimula la demanda global, porque los consumidores gastan la mayor parte de la ganancia inesperada, mientras que los productores se adaptan recortando el ahorro.</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Pero en 2015, esta dinámica diferenciada no fue tan marcada. Una razón es que los países emergentes importadores de energía hoy pesan mucho más en la economía global que en los ochenta, y tienen una postura mucho más intervencionista en el mercado del petróleo que los países avanzados.</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Países como la India y China estabilizan el mercado minorista de energía por medio de subsidios estatales para contener el precio que pagan los consumidores. Cuando el petróleo se encareció, estos subsidios se volvieron muy costosos, y muchos gobiernos ya buscaban desesperadamente cómo recortarlos. De modo que al llegar el abaratamiento, los países emergentes lo aprovecharon para reducir subsidios.</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Al mismo tiempo, muchos exportadores de petróleo se ven obligados a reajustar sus planes de gastos en un contexto de caída abrupta de los ingresos. Hasta Arabia Saudita se vio afectada (a pesar de sus inmensas reservas de petróleo y financieras), debido al veloz crecimiento de su población y el aumento del gasto militar por los conflictos en Medio Oriente.</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lastRenderedPageBreak/>
        <w:t>Que el abaratamiento del petróleo haya incidido tan poco en el crecimiento global no debería sorprendernos. Hace tiempo que la investigación académica señala en esa dirección. Ahora se piensa que el petróleo no es un motor del ciclo económico tan independiente como se creía antes. Otro factor que restringe el crecimiento es una abrupta caída de las inversiones en el sector energético. Tras años de veloz crecimiento, la inversión mundial en producción y exploración petrolera se redujo 150 000 millones de dólares en 2015. En algún momento esto se trasladará a los precios, pero en forma lenta y gradual: en los mercados de futuros el petróleo solo cotiza a 60 dólares por barril en 2020.</w:t>
      </w:r>
    </w:p>
    <w:p w:rsidR="003A334A" w:rsidRP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La buena noticia para 2016 es que la mayoría de los modelos macroeconómicos señalan que el efecto estimulante del abaratamiento del petróleo tenderá a prolongarse por un par de años, lo que compensará que los países emergentes importadores sigan aprovechándolo para recortar subsidios.</w:t>
      </w:r>
    </w:p>
    <w:p w:rsid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Pero para los países productores, los riesgos son cada vez mayores. Aunque solo un par esté en crisis declarada (se destaca la mal gestionada Venezuela), muchos están al borde de la recesión. Los países con tipo de cambio flotante, entre ellos Colombia, México y Rusia, hasta ahora han podido adaptarse a la mayor restricción fiscal (pero si el abaratamiento continúa, Rusia se verá en problemas). Los países con regímenes cambiarios rígidos, en cambio, se enfrentan a una prueba más difícil. La histórica política saudita (que en otros tiempos parecía imbatible) de atar su moneda al dólar fue objeto de enormes</w:t>
      </w:r>
      <w:r>
        <w:rPr>
          <w:rFonts w:ascii="Times New Roman" w:eastAsia="Times New Roman" w:hAnsi="Times New Roman"/>
          <w:color w:val="1F1F1F"/>
          <w:sz w:val="24"/>
          <w:szCs w:val="24"/>
          <w:lang w:eastAsia="es-CL"/>
        </w:rPr>
        <w:t xml:space="preserve"> presiones las últimas semanas.</w:t>
      </w:r>
    </w:p>
    <w:p w:rsidR="003A334A" w:rsidRDefault="003A334A" w:rsidP="00CA3626">
      <w:pPr>
        <w:shd w:val="clear" w:color="auto" w:fill="FFFBF0"/>
        <w:spacing w:after="400"/>
        <w:jc w:val="both"/>
        <w:rPr>
          <w:rFonts w:ascii="Times New Roman" w:eastAsia="Times New Roman" w:hAnsi="Times New Roman"/>
          <w:color w:val="1F1F1F"/>
          <w:sz w:val="24"/>
          <w:szCs w:val="24"/>
          <w:lang w:eastAsia="es-CL"/>
        </w:rPr>
      </w:pPr>
      <w:r w:rsidRPr="003A334A">
        <w:rPr>
          <w:rFonts w:ascii="Times New Roman" w:eastAsia="Times New Roman" w:hAnsi="Times New Roman"/>
          <w:color w:val="1F1F1F"/>
          <w:sz w:val="24"/>
          <w:szCs w:val="24"/>
          <w:lang w:eastAsia="es-CL"/>
        </w:rPr>
        <w:t>Para resumir, en 2015 el precio del petróleo no influyó tanto en el crecimiento global como se esperaba al principio del año. Además, la abundancia de reservas y una política macroeconómica relativamente conservadora han permitido hasta ahora a la mayoría de los grandes productores hacer frente a enormes presiones fiscales sin caer en crisis. Pero el año que viene puede ser diferente (y no en el buen sentido), especialmente para los productores.</w:t>
      </w:r>
    </w:p>
    <w:sectPr w:rsidR="003A334A">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D8B" w:rsidRDefault="00AF2D8B" w:rsidP="006659B7">
      <w:pPr>
        <w:spacing w:after="0"/>
      </w:pPr>
      <w:r>
        <w:separator/>
      </w:r>
    </w:p>
  </w:endnote>
  <w:endnote w:type="continuationSeparator" w:id="1">
    <w:p w:rsidR="00AF2D8B" w:rsidRDefault="00AF2D8B" w:rsidP="006659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D8B" w:rsidRDefault="00AF2D8B" w:rsidP="006659B7">
      <w:pPr>
        <w:spacing w:after="0"/>
      </w:pPr>
      <w:r>
        <w:separator/>
      </w:r>
    </w:p>
  </w:footnote>
  <w:footnote w:type="continuationSeparator" w:id="1">
    <w:p w:rsidR="00AF2D8B" w:rsidRDefault="00AF2D8B" w:rsidP="006659B7">
      <w:pPr>
        <w:spacing w:after="0"/>
      </w:pPr>
      <w:r>
        <w:continuationSeparator/>
      </w:r>
    </w:p>
  </w:footnote>
  <w:footnote w:id="2">
    <w:p w:rsidR="008C7D1B" w:rsidRPr="008C7D1B" w:rsidRDefault="008C7D1B">
      <w:pPr>
        <w:pStyle w:val="Textonotapie"/>
        <w:rPr>
          <w:lang w:val="en-US"/>
        </w:rPr>
      </w:pPr>
      <w:r>
        <w:rPr>
          <w:rStyle w:val="Refdenotaalpie"/>
        </w:rPr>
        <w:footnoteRef/>
      </w:r>
      <w:r w:rsidRPr="008C7D1B">
        <w:rPr>
          <w:lang w:val="en-US"/>
        </w:rPr>
        <w:t xml:space="preserve"> </w:t>
      </w:r>
      <w:r w:rsidRPr="008C7D1B">
        <w:rPr>
          <w:rFonts w:ascii="Times New Roman" w:hAnsi="Times New Roman"/>
        </w:rPr>
        <w:t>http://www.alaskawild.org/wp-content/uploads/2014/10/Climate-Change-and -..</w:t>
      </w:r>
    </w:p>
  </w:footnote>
  <w:footnote w:id="3">
    <w:p w:rsidR="008C7D1B" w:rsidRPr="008C7D1B" w:rsidRDefault="008C7D1B" w:rsidP="008C7D1B">
      <w:pPr>
        <w:jc w:val="both"/>
      </w:pPr>
      <w:r>
        <w:rPr>
          <w:rStyle w:val="Refdenotaalpie"/>
        </w:rPr>
        <w:footnoteRef/>
      </w:r>
      <w:r w:rsidRPr="008C7D1B">
        <w:t xml:space="preserve"> </w:t>
      </w:r>
      <w:r w:rsidRPr="008C7D1B">
        <w:rPr>
          <w:rFonts w:ascii="Times New Roman" w:hAnsi="Times New Roman"/>
          <w:sz w:val="20"/>
          <w:szCs w:val="20"/>
        </w:rPr>
        <w:t xml:space="preserve">Figures hace referencia a los informes de la Agencia Internacional de la Energía que aseguran que para mantener el aumento de la temperatura por debajo de los 2ºC dos tercios de las reservas de petróleo deben permanecer bajo tierra. (http://www.iea.org/publications/freepublications/publication/Spanish.pdf) </w:t>
      </w:r>
    </w:p>
  </w:footnote>
  <w:footnote w:id="4">
    <w:p w:rsidR="008C7D1B" w:rsidRPr="008C7D1B" w:rsidRDefault="008C7D1B">
      <w:pPr>
        <w:pStyle w:val="Textonotapie"/>
      </w:pPr>
      <w:r>
        <w:rPr>
          <w:rStyle w:val="Refdenotaalpie"/>
        </w:rPr>
        <w:footnoteRef/>
      </w:r>
      <w:r w:rsidRPr="008C7D1B">
        <w:t xml:space="preserve"> </w:t>
      </w:r>
      <w:r w:rsidRPr="008C7D1B">
        <w:rPr>
          <w:rFonts w:ascii="Times New Roman" w:hAnsi="Times New Roman"/>
        </w:rPr>
        <w:t>http://www.washingtonpost.com/news/energy-environment/wp/2015/05/13/un-c ...</w:t>
      </w:r>
    </w:p>
  </w:footnote>
  <w:footnote w:id="5">
    <w:p w:rsidR="008C7D1B" w:rsidRPr="008C7D1B" w:rsidRDefault="008C7D1B">
      <w:pPr>
        <w:pStyle w:val="Textonotapie"/>
      </w:pPr>
      <w:r>
        <w:rPr>
          <w:rStyle w:val="Refdenotaalpie"/>
        </w:rPr>
        <w:footnoteRef/>
      </w:r>
      <w:r w:rsidRPr="008C7D1B">
        <w:t xml:space="preserve"> </w:t>
      </w:r>
      <w:r w:rsidRPr="008C7D1B">
        <w:rPr>
          <w:rFonts w:ascii="Times New Roman" w:hAnsi="Times New Roman"/>
        </w:rPr>
        <w:t>http://www.boem.gov/uploadedFiles/BOEM/About_BOEM/BOEM_Regions/Alaska_Re...</w:t>
      </w:r>
    </w:p>
  </w:footnote>
  <w:footnote w:id="6">
    <w:p w:rsidR="008C7D1B" w:rsidRPr="008C7D1B" w:rsidRDefault="008C7D1B">
      <w:pPr>
        <w:pStyle w:val="Textonotapie"/>
      </w:pPr>
      <w:r>
        <w:rPr>
          <w:rStyle w:val="Refdenotaalpie"/>
        </w:rPr>
        <w:footnoteRef/>
      </w:r>
      <w:r w:rsidRPr="008C7D1B">
        <w:t xml:space="preserve"> </w:t>
      </w:r>
      <w:r w:rsidRPr="008C7D1B">
        <w:rPr>
          <w:rFonts w:ascii="Times New Roman" w:hAnsi="Times New Roman"/>
        </w:rPr>
        <w:t>http://democrats.naturalresources.house.gov/sites/democrats.naturalresou ...</w:t>
      </w:r>
    </w:p>
  </w:footnote>
  <w:footnote w:id="7">
    <w:p w:rsidR="008C7D1B" w:rsidRPr="008C7D1B" w:rsidRDefault="008C7D1B">
      <w:pPr>
        <w:pStyle w:val="Textonotapie"/>
      </w:pPr>
      <w:r>
        <w:rPr>
          <w:rStyle w:val="Refdenotaalpie"/>
        </w:rPr>
        <w:footnoteRef/>
      </w:r>
      <w:r w:rsidRPr="008C7D1B">
        <w:t xml:space="preserve"> </w:t>
      </w:r>
      <w:r w:rsidRPr="008C7D1B">
        <w:rPr>
          <w:rFonts w:ascii="Times New Roman" w:hAnsi="Times New Roman"/>
        </w:rPr>
        <w:t>www.eia.gov/todayinenergy/detail.cfm?id=17311</w:t>
      </w:r>
    </w:p>
  </w:footnote>
  <w:footnote w:id="8">
    <w:p w:rsidR="008C7D1B" w:rsidRPr="008C7D1B" w:rsidRDefault="008C7D1B">
      <w:pPr>
        <w:pStyle w:val="Textonotapie"/>
      </w:pPr>
      <w:r>
        <w:rPr>
          <w:rStyle w:val="Refdenotaalpie"/>
        </w:rPr>
        <w:footnoteRef/>
      </w:r>
      <w:r w:rsidRPr="008C7D1B">
        <w:t xml:space="preserve"> </w:t>
      </w:r>
      <w:r w:rsidRPr="008C7D1B">
        <w:rPr>
          <w:rFonts w:ascii="Times New Roman" w:hAnsi="Times New Roman"/>
        </w:rPr>
        <w:t>www.artberman.com/saudi-arabias-oil-price-war-is-with-stupid-money/</w:t>
      </w:r>
    </w:p>
  </w:footnote>
  <w:footnote w:id="9">
    <w:p w:rsidR="008C7D1B" w:rsidRPr="008C7D1B" w:rsidRDefault="008C7D1B">
      <w:pPr>
        <w:pStyle w:val="Textonotapie"/>
      </w:pPr>
      <w:r>
        <w:rPr>
          <w:rStyle w:val="Refdenotaalpie"/>
        </w:rPr>
        <w:footnoteRef/>
      </w:r>
      <w:r w:rsidRPr="008C7D1B">
        <w:t xml:space="preserve"> </w:t>
      </w:r>
      <w:r w:rsidRPr="008C7D1B">
        <w:rPr>
          <w:rFonts w:ascii="Times New Roman" w:hAnsi="Times New Roman"/>
        </w:rPr>
        <w:t>http://www.thisismoney.co.uk/money/markets/article-3078520/Shell-braves -...</w:t>
      </w:r>
    </w:p>
  </w:footnote>
  <w:footnote w:id="10">
    <w:p w:rsidR="008C7D1B" w:rsidRPr="008C7D1B" w:rsidRDefault="008C7D1B">
      <w:pPr>
        <w:pStyle w:val="Textonotapie"/>
      </w:pPr>
      <w:r>
        <w:rPr>
          <w:rStyle w:val="Refdenotaalpie"/>
        </w:rPr>
        <w:footnoteRef/>
      </w:r>
      <w:r w:rsidRPr="008C7D1B">
        <w:t xml:space="preserve"> </w:t>
      </w:r>
      <w:r w:rsidRPr="008C7D1B">
        <w:rPr>
          <w:rFonts w:ascii="Times New Roman" w:hAnsi="Times New Roman"/>
        </w:rPr>
        <w:t>http://petrole.blog.lemonde.fr/2014/03/17/nouvelle-chute-en-2013-de-la-p ...</w:t>
      </w:r>
    </w:p>
  </w:footnote>
  <w:footnote w:id="11">
    <w:p w:rsidR="006659B7" w:rsidRPr="006659B7" w:rsidRDefault="006659B7" w:rsidP="00A375BE">
      <w:pPr>
        <w:pStyle w:val="NormalWeb"/>
        <w:jc w:val="both"/>
      </w:pPr>
      <w:r>
        <w:rPr>
          <w:rStyle w:val="Refdenotaalpie"/>
        </w:rPr>
        <w:footnoteRef/>
      </w:r>
      <w:r w:rsidRPr="006659B7">
        <w:rPr>
          <w:lang w:val="en-US"/>
        </w:rPr>
        <w:t xml:space="preserve"> </w:t>
      </w:r>
      <w:r w:rsidRPr="006659B7">
        <w:rPr>
          <w:color w:val="000000"/>
          <w:sz w:val="20"/>
          <w:szCs w:val="20"/>
          <w:lang w:val="en-US"/>
        </w:rPr>
        <w:t xml:space="preserve">Banco Mundial, “Overview of Commodity Markets” [en línea] </w:t>
      </w:r>
      <w:hyperlink r:id="rId1" w:history="1">
        <w:r w:rsidRPr="006659B7">
          <w:rPr>
            <w:rStyle w:val="Hipervnculo"/>
            <w:sz w:val="20"/>
            <w:szCs w:val="20"/>
            <w:lang w:val="en-US"/>
          </w:rPr>
          <w:t>http://econ.worldbank.org/WBSITE/EXTERNAL/EXTDEC/EXTDECPROSPECTS/0,,contentMDK:21574907~menuPK:7859231~pagePK:64165401~piPK:64165026~theSitePK:476883,00.html</w:t>
        </w:r>
      </w:hyperlink>
      <w:r w:rsidRPr="006659B7">
        <w:rPr>
          <w:color w:val="000000"/>
          <w:sz w:val="20"/>
          <w:szCs w:val="20"/>
          <w:lang w:val="en-US"/>
        </w:rPr>
        <w:t xml:space="preserve">. </w:t>
      </w:r>
      <w:r w:rsidRPr="006659B7">
        <w:rPr>
          <w:color w:val="000000"/>
          <w:sz w:val="20"/>
          <w:szCs w:val="20"/>
        </w:rPr>
        <w:t xml:space="preserve">Los precios de los petróleos Brent y Dubai cayeron en magnitudes iguales entre junio de 2014 y enero de 2015, un 57% en ambos casos, mientras que la caída del crudo WTI (West Texas Intermediate) fue del 55%. </w:t>
      </w:r>
    </w:p>
  </w:footnote>
  <w:footnote w:id="12">
    <w:p w:rsidR="006659B7" w:rsidRPr="006659B7" w:rsidRDefault="006659B7">
      <w:pPr>
        <w:pStyle w:val="Textonotapie"/>
        <w:rPr>
          <w:rFonts w:ascii="Times New Roman" w:hAnsi="Times New Roman"/>
          <w:lang w:val="es-MX"/>
        </w:rPr>
      </w:pPr>
      <w:r w:rsidRPr="006659B7">
        <w:rPr>
          <w:rStyle w:val="Refdenotaalpie"/>
          <w:rFonts w:ascii="Times New Roman" w:hAnsi="Times New Roman"/>
        </w:rPr>
        <w:footnoteRef/>
      </w:r>
      <w:r w:rsidRPr="006659B7">
        <w:rPr>
          <w:rFonts w:ascii="Times New Roman" w:hAnsi="Times New Roman"/>
        </w:rPr>
        <w:t xml:space="preserve"> </w:t>
      </w:r>
      <w:r w:rsidRPr="006659B7">
        <w:rPr>
          <w:rFonts w:ascii="Times New Roman" w:hAnsi="Times New Roman"/>
          <w:color w:val="000000"/>
        </w:rPr>
        <w:t>Precio del barril de petróleo Brent</w:t>
      </w:r>
    </w:p>
  </w:footnote>
  <w:footnote w:id="13">
    <w:p w:rsidR="006659B7" w:rsidRPr="006659B7" w:rsidRDefault="006659B7" w:rsidP="006659B7">
      <w:pPr>
        <w:pStyle w:val="NormalWeb"/>
        <w:jc w:val="both"/>
        <w:rPr>
          <w:color w:val="000000"/>
        </w:rPr>
      </w:pPr>
      <w:r>
        <w:rPr>
          <w:rStyle w:val="Refdenotaalpie"/>
        </w:rPr>
        <w:footnoteRef/>
      </w:r>
      <w:r>
        <w:t xml:space="preserve"> </w:t>
      </w:r>
      <w:r w:rsidRPr="006659B7">
        <w:rPr>
          <w:color w:val="000000"/>
          <w:sz w:val="20"/>
          <w:szCs w:val="20"/>
        </w:rPr>
        <w:t>Por ejemplo, según estimaciones de Capital Economics, se podría producir un aumento del 1% del PIB mundial si el precio del petróleo</w:t>
      </w:r>
      <w:r>
        <w:rPr>
          <w:color w:val="000000"/>
          <w:sz w:val="20"/>
          <w:szCs w:val="20"/>
        </w:rPr>
        <w:t xml:space="preserve"> </w:t>
      </w:r>
      <w:r w:rsidRPr="006659B7">
        <w:rPr>
          <w:color w:val="000000"/>
          <w:sz w:val="20"/>
          <w:szCs w:val="20"/>
        </w:rPr>
        <w:t>se mantuviera estable en 60 dólares por barril (véase Capital Economics (2015))</w:t>
      </w:r>
      <w:r>
        <w:rPr>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74B3"/>
    <w:multiLevelType w:val="multilevel"/>
    <w:tmpl w:val="977E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734C77"/>
    <w:multiLevelType w:val="multilevel"/>
    <w:tmpl w:val="4978D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23D46"/>
    <w:multiLevelType w:val="multilevel"/>
    <w:tmpl w:val="F42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869C0"/>
    <w:multiLevelType w:val="multilevel"/>
    <w:tmpl w:val="780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characterSpacingControl w:val="doNotCompress"/>
  <w:footnotePr>
    <w:footnote w:id="0"/>
    <w:footnote w:id="1"/>
  </w:footnotePr>
  <w:endnotePr>
    <w:endnote w:id="0"/>
    <w:endnote w:id="1"/>
  </w:endnotePr>
  <w:compat/>
  <w:rsids>
    <w:rsidRoot w:val="00F94397"/>
    <w:rsid w:val="00075DC9"/>
    <w:rsid w:val="00085661"/>
    <w:rsid w:val="000D206B"/>
    <w:rsid w:val="001433C6"/>
    <w:rsid w:val="00145551"/>
    <w:rsid w:val="001B6A2B"/>
    <w:rsid w:val="001C49DD"/>
    <w:rsid w:val="001F3B49"/>
    <w:rsid w:val="002327E8"/>
    <w:rsid w:val="00251694"/>
    <w:rsid w:val="00256802"/>
    <w:rsid w:val="00256DCB"/>
    <w:rsid w:val="003223CC"/>
    <w:rsid w:val="0038140C"/>
    <w:rsid w:val="003A334A"/>
    <w:rsid w:val="003B76FA"/>
    <w:rsid w:val="003C2323"/>
    <w:rsid w:val="003D2148"/>
    <w:rsid w:val="003F1696"/>
    <w:rsid w:val="00413C4B"/>
    <w:rsid w:val="004C585B"/>
    <w:rsid w:val="004C7DA6"/>
    <w:rsid w:val="00537359"/>
    <w:rsid w:val="0054257E"/>
    <w:rsid w:val="00582AE1"/>
    <w:rsid w:val="005928BA"/>
    <w:rsid w:val="00617C51"/>
    <w:rsid w:val="006659B7"/>
    <w:rsid w:val="0067623F"/>
    <w:rsid w:val="006D1CE1"/>
    <w:rsid w:val="00784059"/>
    <w:rsid w:val="00817FE9"/>
    <w:rsid w:val="00844242"/>
    <w:rsid w:val="00844614"/>
    <w:rsid w:val="0085471A"/>
    <w:rsid w:val="008653CF"/>
    <w:rsid w:val="00893BBC"/>
    <w:rsid w:val="008C7D1B"/>
    <w:rsid w:val="008E7091"/>
    <w:rsid w:val="0091171C"/>
    <w:rsid w:val="00993C56"/>
    <w:rsid w:val="009A080A"/>
    <w:rsid w:val="009A2878"/>
    <w:rsid w:val="009A2934"/>
    <w:rsid w:val="009A3512"/>
    <w:rsid w:val="009A4B69"/>
    <w:rsid w:val="009C0D4F"/>
    <w:rsid w:val="009C578D"/>
    <w:rsid w:val="009F2230"/>
    <w:rsid w:val="00A375BE"/>
    <w:rsid w:val="00A729B6"/>
    <w:rsid w:val="00AF2640"/>
    <w:rsid w:val="00AF2D8B"/>
    <w:rsid w:val="00AF4110"/>
    <w:rsid w:val="00B432F4"/>
    <w:rsid w:val="00B768EE"/>
    <w:rsid w:val="00C37EE3"/>
    <w:rsid w:val="00C8456D"/>
    <w:rsid w:val="00CA3626"/>
    <w:rsid w:val="00D30C6B"/>
    <w:rsid w:val="00D77AB8"/>
    <w:rsid w:val="00D86578"/>
    <w:rsid w:val="00E1717E"/>
    <w:rsid w:val="00E210FA"/>
    <w:rsid w:val="00EA784A"/>
    <w:rsid w:val="00EC0A82"/>
    <w:rsid w:val="00EC7FD5"/>
    <w:rsid w:val="00F06502"/>
    <w:rsid w:val="00F30064"/>
    <w:rsid w:val="00F8015E"/>
    <w:rsid w:val="00F94397"/>
    <w:rsid w:val="00F95F7C"/>
    <w:rsid w:val="00FD75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2"/>
      <w:szCs w:val="22"/>
      <w:lang w:val="es-CL" w:eastAsia="en-US"/>
    </w:rPr>
  </w:style>
  <w:style w:type="paragraph" w:styleId="Ttulo1">
    <w:name w:val="heading 1"/>
    <w:basedOn w:val="Normal"/>
    <w:link w:val="Ttulo1Car"/>
    <w:uiPriority w:val="9"/>
    <w:qFormat/>
    <w:rsid w:val="00F94397"/>
    <w:pPr>
      <w:spacing w:before="100" w:beforeAutospacing="1" w:after="100" w:afterAutospacing="1"/>
      <w:outlineLvl w:val="0"/>
    </w:pPr>
    <w:rPr>
      <w:rFonts w:ascii="Times New Roman" w:eastAsia="Times New Roman" w:hAnsi="Times New Roman"/>
      <w:b/>
      <w:bCs/>
      <w:kern w:val="36"/>
      <w:sz w:val="48"/>
      <w:szCs w:val="48"/>
      <w:lang w:eastAsia="es-CL"/>
    </w:rPr>
  </w:style>
  <w:style w:type="paragraph" w:styleId="Ttulo2">
    <w:name w:val="heading 2"/>
    <w:basedOn w:val="Normal"/>
    <w:next w:val="Normal"/>
    <w:link w:val="Ttulo2Car"/>
    <w:uiPriority w:val="9"/>
    <w:semiHidden/>
    <w:unhideWhenUsed/>
    <w:qFormat/>
    <w:rsid w:val="00844614"/>
    <w:pPr>
      <w:keepNext/>
      <w:spacing w:before="240" w:after="60"/>
      <w:outlineLvl w:val="1"/>
    </w:pPr>
    <w:rPr>
      <w:rFonts w:ascii="Cambria" w:eastAsia="Times New Roman" w:hAnsi="Cambria"/>
      <w:b/>
      <w:bCs/>
      <w:i/>
      <w:iCs/>
      <w:sz w:val="28"/>
      <w:szCs w:val="28"/>
      <w:lang/>
    </w:rPr>
  </w:style>
  <w:style w:type="paragraph" w:styleId="Ttulo4">
    <w:name w:val="heading 4"/>
    <w:basedOn w:val="Normal"/>
    <w:next w:val="Normal"/>
    <w:link w:val="Ttulo4Car"/>
    <w:uiPriority w:val="9"/>
    <w:semiHidden/>
    <w:unhideWhenUsed/>
    <w:qFormat/>
    <w:rsid w:val="00F94397"/>
    <w:pPr>
      <w:keepNext/>
      <w:keepLines/>
      <w:spacing w:before="200" w:after="0"/>
      <w:outlineLvl w:val="3"/>
    </w:pPr>
    <w:rPr>
      <w:rFonts w:ascii="Cambria" w:eastAsia="Times New Roman" w:hAnsi="Cambria"/>
      <w:b/>
      <w:bCs/>
      <w:i/>
      <w:iCs/>
      <w:color w:val="4F81BD"/>
      <w:sz w:val="20"/>
      <w:szCs w:val="20"/>
      <w:lang/>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94397"/>
    <w:rPr>
      <w:rFonts w:ascii="Times New Roman" w:eastAsia="Times New Roman" w:hAnsi="Times New Roman" w:cs="Times New Roman"/>
      <w:b/>
      <w:bCs/>
      <w:kern w:val="36"/>
      <w:sz w:val="48"/>
      <w:szCs w:val="48"/>
      <w:lang w:eastAsia="es-CL"/>
    </w:rPr>
  </w:style>
  <w:style w:type="character" w:customStyle="1" w:styleId="Ttulo4Car">
    <w:name w:val="Título 4 Car"/>
    <w:link w:val="Ttulo4"/>
    <w:uiPriority w:val="9"/>
    <w:semiHidden/>
    <w:rsid w:val="00F94397"/>
    <w:rPr>
      <w:rFonts w:ascii="Cambria" w:eastAsia="Times New Roman" w:hAnsi="Cambria" w:cs="Times New Roman"/>
      <w:b/>
      <w:bCs/>
      <w:i/>
      <w:iCs/>
      <w:color w:val="4F81BD"/>
    </w:rPr>
  </w:style>
  <w:style w:type="character" w:styleId="Hipervnculo">
    <w:name w:val="Hyperlink"/>
    <w:uiPriority w:val="99"/>
    <w:unhideWhenUsed/>
    <w:rsid w:val="00F94397"/>
    <w:rPr>
      <w:color w:val="0000FF"/>
      <w:u w:val="single"/>
    </w:rPr>
  </w:style>
  <w:style w:type="paragraph" w:styleId="Textodeglobo">
    <w:name w:val="Balloon Text"/>
    <w:basedOn w:val="Normal"/>
    <w:link w:val="TextodegloboCar"/>
    <w:uiPriority w:val="99"/>
    <w:semiHidden/>
    <w:unhideWhenUsed/>
    <w:rsid w:val="00F94397"/>
    <w:pPr>
      <w:spacing w:after="0"/>
    </w:pPr>
    <w:rPr>
      <w:rFonts w:ascii="Tahoma" w:hAnsi="Tahoma"/>
      <w:sz w:val="16"/>
      <w:szCs w:val="16"/>
      <w:lang/>
    </w:rPr>
  </w:style>
  <w:style w:type="character" w:customStyle="1" w:styleId="TextodegloboCar">
    <w:name w:val="Texto de globo Car"/>
    <w:link w:val="Textodeglobo"/>
    <w:uiPriority w:val="99"/>
    <w:semiHidden/>
    <w:rsid w:val="00F94397"/>
    <w:rPr>
      <w:rFonts w:ascii="Tahoma" w:hAnsi="Tahoma" w:cs="Tahoma"/>
      <w:sz w:val="16"/>
      <w:szCs w:val="16"/>
    </w:rPr>
  </w:style>
  <w:style w:type="character" w:customStyle="1" w:styleId="Ttulo2Car">
    <w:name w:val="Título 2 Car"/>
    <w:link w:val="Ttulo2"/>
    <w:uiPriority w:val="9"/>
    <w:semiHidden/>
    <w:rsid w:val="00844614"/>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F95F7C"/>
    <w:pPr>
      <w:spacing w:before="100" w:beforeAutospacing="1" w:after="100" w:afterAutospacing="1"/>
    </w:pPr>
    <w:rPr>
      <w:rFonts w:ascii="Times New Roman" w:eastAsia="Times New Roman" w:hAnsi="Times New Roman"/>
      <w:sz w:val="24"/>
      <w:szCs w:val="24"/>
      <w:lang w:eastAsia="es-CL"/>
    </w:rPr>
  </w:style>
  <w:style w:type="paragraph" w:styleId="Textonotapie">
    <w:name w:val="footnote text"/>
    <w:basedOn w:val="Normal"/>
    <w:link w:val="TextonotapieCar"/>
    <w:uiPriority w:val="99"/>
    <w:semiHidden/>
    <w:unhideWhenUsed/>
    <w:rsid w:val="006659B7"/>
    <w:rPr>
      <w:sz w:val="20"/>
      <w:szCs w:val="20"/>
    </w:rPr>
  </w:style>
  <w:style w:type="character" w:customStyle="1" w:styleId="TextonotapieCar">
    <w:name w:val="Texto nota pie Car"/>
    <w:basedOn w:val="Fuentedeprrafopredeter"/>
    <w:link w:val="Textonotapie"/>
    <w:uiPriority w:val="99"/>
    <w:semiHidden/>
    <w:rsid w:val="006659B7"/>
    <w:rPr>
      <w:lang w:eastAsia="en-US"/>
    </w:rPr>
  </w:style>
  <w:style w:type="character" w:styleId="Refdenotaalpie">
    <w:name w:val="footnote reference"/>
    <w:basedOn w:val="Fuentedeprrafopredeter"/>
    <w:uiPriority w:val="99"/>
    <w:semiHidden/>
    <w:unhideWhenUsed/>
    <w:rsid w:val="006659B7"/>
    <w:rPr>
      <w:vertAlign w:val="superscript"/>
    </w:rPr>
  </w:style>
  <w:style w:type="character" w:customStyle="1" w:styleId="apple-converted-space">
    <w:name w:val="apple-converted-space"/>
    <w:basedOn w:val="Fuentedeprrafopredeter"/>
    <w:rsid w:val="0091171C"/>
  </w:style>
  <w:style w:type="character" w:styleId="Textoennegrita">
    <w:name w:val="Strong"/>
    <w:basedOn w:val="Fuentedeprrafopredeter"/>
    <w:uiPriority w:val="22"/>
    <w:qFormat/>
    <w:rsid w:val="0091171C"/>
    <w:rPr>
      <w:b/>
      <w:bCs/>
    </w:rPr>
  </w:style>
</w:styles>
</file>

<file path=word/webSettings.xml><?xml version="1.0" encoding="utf-8"?>
<w:webSettings xmlns:r="http://schemas.openxmlformats.org/officeDocument/2006/relationships" xmlns:w="http://schemas.openxmlformats.org/wordprocessingml/2006/main">
  <w:divs>
    <w:div w:id="78256461">
      <w:bodyDiv w:val="1"/>
      <w:marLeft w:val="0"/>
      <w:marRight w:val="0"/>
      <w:marTop w:val="0"/>
      <w:marBottom w:val="0"/>
      <w:divBdr>
        <w:top w:val="none" w:sz="0" w:space="0" w:color="auto"/>
        <w:left w:val="none" w:sz="0" w:space="0" w:color="auto"/>
        <w:bottom w:val="none" w:sz="0" w:space="0" w:color="auto"/>
        <w:right w:val="none" w:sz="0" w:space="0" w:color="auto"/>
      </w:divBdr>
      <w:divsChild>
        <w:div w:id="197591285">
          <w:marLeft w:val="0"/>
          <w:marRight w:val="0"/>
          <w:marTop w:val="0"/>
          <w:marBottom w:val="0"/>
          <w:divBdr>
            <w:top w:val="none" w:sz="0" w:space="0" w:color="auto"/>
            <w:left w:val="none" w:sz="0" w:space="0" w:color="auto"/>
            <w:bottom w:val="none" w:sz="0" w:space="0" w:color="auto"/>
            <w:right w:val="none" w:sz="0" w:space="0" w:color="auto"/>
          </w:divBdr>
        </w:div>
        <w:div w:id="914242911">
          <w:marLeft w:val="0"/>
          <w:marRight w:val="0"/>
          <w:marTop w:val="0"/>
          <w:marBottom w:val="0"/>
          <w:divBdr>
            <w:top w:val="none" w:sz="0" w:space="0" w:color="auto"/>
            <w:left w:val="none" w:sz="0" w:space="0" w:color="auto"/>
            <w:bottom w:val="none" w:sz="0" w:space="0" w:color="auto"/>
            <w:right w:val="none" w:sz="0" w:space="0" w:color="auto"/>
          </w:divBdr>
        </w:div>
        <w:div w:id="946430960">
          <w:marLeft w:val="0"/>
          <w:marRight w:val="0"/>
          <w:marTop w:val="0"/>
          <w:marBottom w:val="0"/>
          <w:divBdr>
            <w:top w:val="none" w:sz="0" w:space="0" w:color="auto"/>
            <w:left w:val="none" w:sz="0" w:space="0" w:color="auto"/>
            <w:bottom w:val="none" w:sz="0" w:space="0" w:color="auto"/>
            <w:right w:val="none" w:sz="0" w:space="0" w:color="auto"/>
          </w:divBdr>
          <w:divsChild>
            <w:div w:id="2112780608">
              <w:marLeft w:val="0"/>
              <w:marRight w:val="0"/>
              <w:marTop w:val="0"/>
              <w:marBottom w:val="0"/>
              <w:divBdr>
                <w:top w:val="none" w:sz="0" w:space="0" w:color="auto"/>
                <w:left w:val="none" w:sz="0" w:space="0" w:color="auto"/>
                <w:bottom w:val="none" w:sz="0" w:space="0" w:color="auto"/>
                <w:right w:val="none" w:sz="0" w:space="0" w:color="auto"/>
              </w:divBdr>
            </w:div>
          </w:divsChild>
        </w:div>
        <w:div w:id="1661537504">
          <w:marLeft w:val="0"/>
          <w:marRight w:val="0"/>
          <w:marTop w:val="0"/>
          <w:marBottom w:val="0"/>
          <w:divBdr>
            <w:top w:val="none" w:sz="0" w:space="0" w:color="auto"/>
            <w:left w:val="none" w:sz="0" w:space="0" w:color="auto"/>
            <w:bottom w:val="none" w:sz="0" w:space="0" w:color="auto"/>
            <w:right w:val="none" w:sz="0" w:space="0" w:color="auto"/>
          </w:divBdr>
        </w:div>
      </w:divsChild>
    </w:div>
    <w:div w:id="128593400">
      <w:bodyDiv w:val="1"/>
      <w:marLeft w:val="0"/>
      <w:marRight w:val="0"/>
      <w:marTop w:val="0"/>
      <w:marBottom w:val="0"/>
      <w:divBdr>
        <w:top w:val="none" w:sz="0" w:space="0" w:color="auto"/>
        <w:left w:val="none" w:sz="0" w:space="0" w:color="auto"/>
        <w:bottom w:val="none" w:sz="0" w:space="0" w:color="auto"/>
        <w:right w:val="none" w:sz="0" w:space="0" w:color="auto"/>
      </w:divBdr>
      <w:divsChild>
        <w:div w:id="2141529151">
          <w:marLeft w:val="0"/>
          <w:marRight w:val="0"/>
          <w:marTop w:val="0"/>
          <w:marBottom w:val="0"/>
          <w:divBdr>
            <w:top w:val="none" w:sz="0" w:space="0" w:color="auto"/>
            <w:left w:val="none" w:sz="0" w:space="0" w:color="auto"/>
            <w:bottom w:val="none" w:sz="0" w:space="0" w:color="auto"/>
            <w:right w:val="none" w:sz="0" w:space="0" w:color="auto"/>
          </w:divBdr>
        </w:div>
      </w:divsChild>
    </w:div>
    <w:div w:id="695694431">
      <w:bodyDiv w:val="1"/>
      <w:marLeft w:val="0"/>
      <w:marRight w:val="0"/>
      <w:marTop w:val="0"/>
      <w:marBottom w:val="0"/>
      <w:divBdr>
        <w:top w:val="none" w:sz="0" w:space="0" w:color="auto"/>
        <w:left w:val="none" w:sz="0" w:space="0" w:color="auto"/>
        <w:bottom w:val="none" w:sz="0" w:space="0" w:color="auto"/>
        <w:right w:val="none" w:sz="0" w:space="0" w:color="auto"/>
      </w:divBdr>
      <w:divsChild>
        <w:div w:id="122044514">
          <w:marLeft w:val="450"/>
          <w:marRight w:val="0"/>
          <w:marTop w:val="0"/>
          <w:marBottom w:val="450"/>
          <w:divBdr>
            <w:top w:val="single" w:sz="6" w:space="0" w:color="CECEBF"/>
            <w:left w:val="single" w:sz="6" w:space="0" w:color="CECEBF"/>
            <w:bottom w:val="single" w:sz="6" w:space="0" w:color="CECEBF"/>
            <w:right w:val="single" w:sz="6" w:space="0" w:color="CECEBF"/>
          </w:divBdr>
        </w:div>
        <w:div w:id="311715581">
          <w:marLeft w:val="0"/>
          <w:marRight w:val="450"/>
          <w:marTop w:val="0"/>
          <w:marBottom w:val="450"/>
          <w:divBdr>
            <w:top w:val="single" w:sz="6" w:space="0" w:color="CECEBF"/>
            <w:left w:val="single" w:sz="6" w:space="0" w:color="CECEBF"/>
            <w:bottom w:val="single" w:sz="6" w:space="0" w:color="CECEBF"/>
            <w:right w:val="single" w:sz="6" w:space="0" w:color="CECEBF"/>
          </w:divBdr>
        </w:div>
        <w:div w:id="592083950">
          <w:marLeft w:val="0"/>
          <w:marRight w:val="0"/>
          <w:marTop w:val="0"/>
          <w:marBottom w:val="300"/>
          <w:divBdr>
            <w:top w:val="none" w:sz="0" w:space="0" w:color="auto"/>
            <w:left w:val="none" w:sz="0" w:space="0" w:color="auto"/>
            <w:bottom w:val="none" w:sz="0" w:space="0" w:color="auto"/>
            <w:right w:val="none" w:sz="0" w:space="0" w:color="auto"/>
          </w:divBdr>
        </w:div>
      </w:divsChild>
    </w:div>
    <w:div w:id="701520501">
      <w:bodyDiv w:val="1"/>
      <w:marLeft w:val="0"/>
      <w:marRight w:val="0"/>
      <w:marTop w:val="0"/>
      <w:marBottom w:val="0"/>
      <w:divBdr>
        <w:top w:val="none" w:sz="0" w:space="0" w:color="auto"/>
        <w:left w:val="none" w:sz="0" w:space="0" w:color="auto"/>
        <w:bottom w:val="none" w:sz="0" w:space="0" w:color="auto"/>
        <w:right w:val="none" w:sz="0" w:space="0" w:color="auto"/>
      </w:divBdr>
    </w:div>
    <w:div w:id="889461373">
      <w:bodyDiv w:val="1"/>
      <w:marLeft w:val="0"/>
      <w:marRight w:val="0"/>
      <w:marTop w:val="0"/>
      <w:marBottom w:val="0"/>
      <w:divBdr>
        <w:top w:val="none" w:sz="0" w:space="0" w:color="auto"/>
        <w:left w:val="none" w:sz="0" w:space="0" w:color="auto"/>
        <w:bottom w:val="none" w:sz="0" w:space="0" w:color="auto"/>
        <w:right w:val="none" w:sz="0" w:space="0" w:color="auto"/>
      </w:divBdr>
    </w:div>
    <w:div w:id="1009141415">
      <w:bodyDiv w:val="1"/>
      <w:marLeft w:val="0"/>
      <w:marRight w:val="0"/>
      <w:marTop w:val="0"/>
      <w:marBottom w:val="0"/>
      <w:divBdr>
        <w:top w:val="none" w:sz="0" w:space="0" w:color="auto"/>
        <w:left w:val="none" w:sz="0" w:space="0" w:color="auto"/>
        <w:bottom w:val="none" w:sz="0" w:space="0" w:color="auto"/>
        <w:right w:val="none" w:sz="0" w:space="0" w:color="auto"/>
      </w:divBdr>
      <w:divsChild>
        <w:div w:id="949170231">
          <w:marLeft w:val="0"/>
          <w:marRight w:val="0"/>
          <w:marTop w:val="0"/>
          <w:marBottom w:val="0"/>
          <w:divBdr>
            <w:top w:val="none" w:sz="0" w:space="0" w:color="auto"/>
            <w:left w:val="none" w:sz="0" w:space="0" w:color="auto"/>
            <w:bottom w:val="none" w:sz="0" w:space="0" w:color="auto"/>
            <w:right w:val="none" w:sz="0" w:space="0" w:color="auto"/>
          </w:divBdr>
          <w:divsChild>
            <w:div w:id="871653019">
              <w:marLeft w:val="0"/>
              <w:marRight w:val="0"/>
              <w:marTop w:val="0"/>
              <w:marBottom w:val="0"/>
              <w:divBdr>
                <w:top w:val="none" w:sz="0" w:space="0" w:color="auto"/>
                <w:left w:val="none" w:sz="0" w:space="0" w:color="auto"/>
                <w:bottom w:val="single" w:sz="18" w:space="0" w:color="333333"/>
                <w:right w:val="none" w:sz="0" w:space="0" w:color="auto"/>
              </w:divBdr>
            </w:div>
            <w:div w:id="1008673662">
              <w:marLeft w:val="0"/>
              <w:marRight w:val="0"/>
              <w:marTop w:val="0"/>
              <w:marBottom w:val="0"/>
              <w:divBdr>
                <w:top w:val="none" w:sz="0" w:space="0" w:color="auto"/>
                <w:left w:val="none" w:sz="0" w:space="0" w:color="auto"/>
                <w:bottom w:val="single" w:sz="6" w:space="8" w:color="808080"/>
                <w:right w:val="none" w:sz="0" w:space="0" w:color="auto"/>
              </w:divBdr>
              <w:divsChild>
                <w:div w:id="533075267">
                  <w:marLeft w:val="0"/>
                  <w:marRight w:val="0"/>
                  <w:marTop w:val="0"/>
                  <w:marBottom w:val="0"/>
                  <w:divBdr>
                    <w:top w:val="none" w:sz="0" w:space="0" w:color="auto"/>
                    <w:left w:val="none" w:sz="0" w:space="0" w:color="auto"/>
                    <w:bottom w:val="none" w:sz="0" w:space="0" w:color="auto"/>
                    <w:right w:val="none" w:sz="0" w:space="0" w:color="auto"/>
                  </w:divBdr>
                </w:div>
                <w:div w:id="1264146997">
                  <w:marLeft w:val="0"/>
                  <w:marRight w:val="0"/>
                  <w:marTop w:val="0"/>
                  <w:marBottom w:val="0"/>
                  <w:divBdr>
                    <w:top w:val="none" w:sz="0" w:space="0" w:color="auto"/>
                    <w:left w:val="none" w:sz="0" w:space="0" w:color="auto"/>
                    <w:bottom w:val="none" w:sz="0" w:space="0" w:color="auto"/>
                    <w:right w:val="none" w:sz="0" w:space="0" w:color="auto"/>
                  </w:divBdr>
                </w:div>
              </w:divsChild>
            </w:div>
            <w:div w:id="1761292112">
              <w:marLeft w:val="0"/>
              <w:marRight w:val="0"/>
              <w:marTop w:val="0"/>
              <w:marBottom w:val="0"/>
              <w:divBdr>
                <w:top w:val="none" w:sz="0" w:space="0" w:color="auto"/>
                <w:left w:val="none" w:sz="0" w:space="0" w:color="auto"/>
                <w:bottom w:val="none" w:sz="0" w:space="0" w:color="auto"/>
                <w:right w:val="none" w:sz="0" w:space="0" w:color="auto"/>
              </w:divBdr>
              <w:divsChild>
                <w:div w:id="968557331">
                  <w:marLeft w:val="0"/>
                  <w:marRight w:val="0"/>
                  <w:marTop w:val="0"/>
                  <w:marBottom w:val="450"/>
                  <w:divBdr>
                    <w:top w:val="none" w:sz="0" w:space="0" w:color="auto"/>
                    <w:left w:val="none" w:sz="0" w:space="0" w:color="auto"/>
                    <w:bottom w:val="single" w:sz="6" w:space="15" w:color="808080"/>
                    <w:right w:val="none" w:sz="0" w:space="0" w:color="auto"/>
                  </w:divBdr>
                  <w:divsChild>
                    <w:div w:id="60754093">
                      <w:marLeft w:val="450"/>
                      <w:marRight w:val="0"/>
                      <w:marTop w:val="0"/>
                      <w:marBottom w:val="450"/>
                      <w:divBdr>
                        <w:top w:val="single" w:sz="6" w:space="0" w:color="CECEBF"/>
                        <w:left w:val="single" w:sz="6" w:space="0" w:color="CECEBF"/>
                        <w:bottom w:val="single" w:sz="6" w:space="0" w:color="CECEBF"/>
                        <w:right w:val="single" w:sz="6" w:space="0" w:color="CECEBF"/>
                      </w:divBdr>
                    </w:div>
                    <w:div w:id="747115578">
                      <w:marLeft w:val="0"/>
                      <w:marRight w:val="0"/>
                      <w:marTop w:val="0"/>
                      <w:marBottom w:val="300"/>
                      <w:divBdr>
                        <w:top w:val="none" w:sz="0" w:space="0" w:color="auto"/>
                        <w:left w:val="none" w:sz="0" w:space="0" w:color="auto"/>
                        <w:bottom w:val="none" w:sz="0" w:space="0" w:color="auto"/>
                        <w:right w:val="none" w:sz="0" w:space="0" w:color="auto"/>
                      </w:divBdr>
                    </w:div>
                    <w:div w:id="1422993332">
                      <w:marLeft w:val="0"/>
                      <w:marRight w:val="450"/>
                      <w:marTop w:val="0"/>
                      <w:marBottom w:val="450"/>
                      <w:divBdr>
                        <w:top w:val="single" w:sz="6" w:space="0" w:color="CECEBF"/>
                        <w:left w:val="single" w:sz="6" w:space="0" w:color="CECEBF"/>
                        <w:bottom w:val="single" w:sz="6" w:space="0" w:color="CECEBF"/>
                        <w:right w:val="single" w:sz="6" w:space="0" w:color="CECEBF"/>
                      </w:divBdr>
                    </w:div>
                  </w:divsChild>
                </w:div>
              </w:divsChild>
            </w:div>
          </w:divsChild>
        </w:div>
      </w:divsChild>
    </w:div>
    <w:div w:id="1108811050">
      <w:bodyDiv w:val="1"/>
      <w:marLeft w:val="0"/>
      <w:marRight w:val="0"/>
      <w:marTop w:val="0"/>
      <w:marBottom w:val="0"/>
      <w:divBdr>
        <w:top w:val="none" w:sz="0" w:space="0" w:color="auto"/>
        <w:left w:val="none" w:sz="0" w:space="0" w:color="auto"/>
        <w:bottom w:val="none" w:sz="0" w:space="0" w:color="auto"/>
        <w:right w:val="none" w:sz="0" w:space="0" w:color="auto"/>
      </w:divBdr>
      <w:divsChild>
        <w:div w:id="930161548">
          <w:marLeft w:val="0"/>
          <w:marRight w:val="150"/>
          <w:marTop w:val="0"/>
          <w:marBottom w:val="0"/>
          <w:divBdr>
            <w:top w:val="none" w:sz="0" w:space="0" w:color="auto"/>
            <w:left w:val="none" w:sz="0" w:space="0" w:color="auto"/>
            <w:bottom w:val="none" w:sz="0" w:space="0" w:color="auto"/>
            <w:right w:val="none" w:sz="0" w:space="0" w:color="auto"/>
          </w:divBdr>
          <w:divsChild>
            <w:div w:id="1165710229">
              <w:marLeft w:val="0"/>
              <w:marRight w:val="0"/>
              <w:marTop w:val="0"/>
              <w:marBottom w:val="0"/>
              <w:divBdr>
                <w:top w:val="none" w:sz="0" w:space="0" w:color="auto"/>
                <w:left w:val="none" w:sz="0" w:space="0" w:color="auto"/>
                <w:bottom w:val="none" w:sz="0" w:space="0" w:color="auto"/>
                <w:right w:val="none" w:sz="0" w:space="0" w:color="auto"/>
              </w:divBdr>
              <w:divsChild>
                <w:div w:id="1397901205">
                  <w:marLeft w:val="0"/>
                  <w:marRight w:val="0"/>
                  <w:marTop w:val="0"/>
                  <w:marBottom w:val="0"/>
                  <w:divBdr>
                    <w:top w:val="none" w:sz="0" w:space="0" w:color="auto"/>
                    <w:left w:val="none" w:sz="0" w:space="0" w:color="auto"/>
                    <w:bottom w:val="none" w:sz="0" w:space="0" w:color="auto"/>
                    <w:right w:val="none" w:sz="0" w:space="0" w:color="auto"/>
                  </w:divBdr>
                  <w:divsChild>
                    <w:div w:id="854881761">
                      <w:marLeft w:val="0"/>
                      <w:marRight w:val="0"/>
                      <w:marTop w:val="0"/>
                      <w:marBottom w:val="0"/>
                      <w:divBdr>
                        <w:top w:val="none" w:sz="0" w:space="0" w:color="auto"/>
                        <w:left w:val="none" w:sz="0" w:space="0" w:color="auto"/>
                        <w:bottom w:val="none" w:sz="0" w:space="0" w:color="auto"/>
                        <w:right w:val="none" w:sz="0" w:space="0" w:color="auto"/>
                      </w:divBdr>
                    </w:div>
                  </w:divsChild>
                </w:div>
                <w:div w:id="2056999966">
                  <w:marLeft w:val="0"/>
                  <w:marRight w:val="0"/>
                  <w:marTop w:val="225"/>
                  <w:marBottom w:val="75"/>
                  <w:divBdr>
                    <w:top w:val="none" w:sz="0" w:space="0" w:color="auto"/>
                    <w:left w:val="none" w:sz="0" w:space="0" w:color="auto"/>
                    <w:bottom w:val="none" w:sz="0" w:space="0" w:color="auto"/>
                    <w:right w:val="none" w:sz="0" w:space="0" w:color="auto"/>
                  </w:divBdr>
                </w:div>
                <w:div w:id="2105101313">
                  <w:marLeft w:val="0"/>
                  <w:marRight w:val="0"/>
                  <w:marTop w:val="0"/>
                  <w:marBottom w:val="150"/>
                  <w:divBdr>
                    <w:top w:val="none" w:sz="0" w:space="0" w:color="auto"/>
                    <w:left w:val="none" w:sz="0" w:space="0" w:color="auto"/>
                    <w:bottom w:val="none" w:sz="0" w:space="0" w:color="auto"/>
                    <w:right w:val="none" w:sz="0" w:space="0" w:color="auto"/>
                  </w:divBdr>
                </w:div>
              </w:divsChild>
            </w:div>
            <w:div w:id="1443303855">
              <w:marLeft w:val="0"/>
              <w:marRight w:val="0"/>
              <w:marTop w:val="0"/>
              <w:marBottom w:val="0"/>
              <w:divBdr>
                <w:top w:val="none" w:sz="0" w:space="0" w:color="auto"/>
                <w:left w:val="none" w:sz="0" w:space="0" w:color="auto"/>
                <w:bottom w:val="none" w:sz="0" w:space="0" w:color="auto"/>
                <w:right w:val="none" w:sz="0" w:space="0" w:color="auto"/>
              </w:divBdr>
              <w:divsChild>
                <w:div w:id="593562525">
                  <w:marLeft w:val="0"/>
                  <w:marRight w:val="0"/>
                  <w:marTop w:val="0"/>
                  <w:marBottom w:val="0"/>
                  <w:divBdr>
                    <w:top w:val="none" w:sz="0" w:space="0" w:color="auto"/>
                    <w:left w:val="none" w:sz="0" w:space="0" w:color="auto"/>
                    <w:bottom w:val="none" w:sz="0" w:space="0" w:color="auto"/>
                    <w:right w:val="none" w:sz="0" w:space="0" w:color="auto"/>
                  </w:divBdr>
                </w:div>
                <w:div w:id="974413156">
                  <w:marLeft w:val="0"/>
                  <w:marRight w:val="0"/>
                  <w:marTop w:val="0"/>
                  <w:marBottom w:val="0"/>
                  <w:divBdr>
                    <w:top w:val="none" w:sz="0" w:space="0" w:color="auto"/>
                    <w:left w:val="none" w:sz="0" w:space="0" w:color="auto"/>
                    <w:bottom w:val="none" w:sz="0" w:space="0" w:color="auto"/>
                    <w:right w:val="none" w:sz="0" w:space="0" w:color="auto"/>
                  </w:divBdr>
                  <w:divsChild>
                    <w:div w:id="670834705">
                      <w:marLeft w:val="0"/>
                      <w:marRight w:val="0"/>
                      <w:marTop w:val="0"/>
                      <w:marBottom w:val="0"/>
                      <w:divBdr>
                        <w:top w:val="single" w:sz="6" w:space="0" w:color="E6E6E6"/>
                        <w:left w:val="single" w:sz="6" w:space="0" w:color="E6E6E6"/>
                        <w:bottom w:val="single" w:sz="6" w:space="0" w:color="E6E6E6"/>
                        <w:right w:val="single" w:sz="6" w:space="0" w:color="E6E6E6"/>
                      </w:divBdr>
                      <w:divsChild>
                        <w:div w:id="5120377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756634859">
              <w:marLeft w:val="0"/>
              <w:marRight w:val="0"/>
              <w:marTop w:val="0"/>
              <w:marBottom w:val="0"/>
              <w:divBdr>
                <w:top w:val="none" w:sz="0" w:space="0" w:color="auto"/>
                <w:left w:val="none" w:sz="0" w:space="0" w:color="auto"/>
                <w:bottom w:val="none" w:sz="0" w:space="0" w:color="auto"/>
                <w:right w:val="none" w:sz="0" w:space="0" w:color="auto"/>
              </w:divBdr>
              <w:divsChild>
                <w:div w:id="1987204995">
                  <w:marLeft w:val="0"/>
                  <w:marRight w:val="0"/>
                  <w:marTop w:val="150"/>
                  <w:marBottom w:val="0"/>
                  <w:divBdr>
                    <w:top w:val="none" w:sz="0" w:space="0" w:color="auto"/>
                    <w:left w:val="none" w:sz="0" w:space="0" w:color="auto"/>
                    <w:bottom w:val="none" w:sz="0" w:space="0" w:color="auto"/>
                    <w:right w:val="none" w:sz="0" w:space="0" w:color="auto"/>
                  </w:divBdr>
                  <w:divsChild>
                    <w:div w:id="453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3909">
      <w:bodyDiv w:val="1"/>
      <w:marLeft w:val="0"/>
      <w:marRight w:val="0"/>
      <w:marTop w:val="0"/>
      <w:marBottom w:val="0"/>
      <w:divBdr>
        <w:top w:val="none" w:sz="0" w:space="0" w:color="auto"/>
        <w:left w:val="none" w:sz="0" w:space="0" w:color="auto"/>
        <w:bottom w:val="none" w:sz="0" w:space="0" w:color="auto"/>
        <w:right w:val="none" w:sz="0" w:space="0" w:color="auto"/>
      </w:divBdr>
      <w:divsChild>
        <w:div w:id="109201251">
          <w:marLeft w:val="0"/>
          <w:marRight w:val="0"/>
          <w:marTop w:val="0"/>
          <w:marBottom w:val="0"/>
          <w:divBdr>
            <w:top w:val="none" w:sz="0" w:space="0" w:color="auto"/>
            <w:left w:val="none" w:sz="0" w:space="0" w:color="auto"/>
            <w:bottom w:val="none" w:sz="0" w:space="0" w:color="auto"/>
            <w:right w:val="none" w:sz="0" w:space="0" w:color="auto"/>
          </w:divBdr>
        </w:div>
        <w:div w:id="896861698">
          <w:marLeft w:val="0"/>
          <w:marRight w:val="0"/>
          <w:marTop w:val="0"/>
          <w:marBottom w:val="0"/>
          <w:divBdr>
            <w:top w:val="none" w:sz="0" w:space="0" w:color="auto"/>
            <w:left w:val="none" w:sz="0" w:space="0" w:color="auto"/>
            <w:bottom w:val="none" w:sz="0" w:space="0" w:color="auto"/>
            <w:right w:val="none" w:sz="0" w:space="0" w:color="auto"/>
          </w:divBdr>
        </w:div>
      </w:divsChild>
    </w:div>
    <w:div w:id="1327710066">
      <w:bodyDiv w:val="1"/>
      <w:marLeft w:val="0"/>
      <w:marRight w:val="0"/>
      <w:marTop w:val="0"/>
      <w:marBottom w:val="0"/>
      <w:divBdr>
        <w:top w:val="none" w:sz="0" w:space="0" w:color="auto"/>
        <w:left w:val="none" w:sz="0" w:space="0" w:color="auto"/>
        <w:bottom w:val="none" w:sz="0" w:space="0" w:color="auto"/>
        <w:right w:val="none" w:sz="0" w:space="0" w:color="auto"/>
      </w:divBdr>
      <w:divsChild>
        <w:div w:id="1079668969">
          <w:marLeft w:val="0"/>
          <w:marRight w:val="0"/>
          <w:marTop w:val="0"/>
          <w:marBottom w:val="0"/>
          <w:divBdr>
            <w:top w:val="none" w:sz="0" w:space="0" w:color="auto"/>
            <w:left w:val="none" w:sz="0" w:space="0" w:color="auto"/>
            <w:bottom w:val="none" w:sz="0" w:space="0" w:color="auto"/>
            <w:right w:val="none" w:sz="0" w:space="0" w:color="auto"/>
          </w:divBdr>
        </w:div>
        <w:div w:id="1194000894">
          <w:marLeft w:val="0"/>
          <w:marRight w:val="0"/>
          <w:marTop w:val="0"/>
          <w:marBottom w:val="0"/>
          <w:divBdr>
            <w:top w:val="none" w:sz="0" w:space="0" w:color="auto"/>
            <w:left w:val="none" w:sz="0" w:space="0" w:color="auto"/>
            <w:bottom w:val="none" w:sz="0" w:space="0" w:color="auto"/>
            <w:right w:val="none" w:sz="0" w:space="0" w:color="auto"/>
          </w:divBdr>
        </w:div>
      </w:divsChild>
    </w:div>
    <w:div w:id="1602226919">
      <w:bodyDiv w:val="1"/>
      <w:marLeft w:val="0"/>
      <w:marRight w:val="0"/>
      <w:marTop w:val="0"/>
      <w:marBottom w:val="0"/>
      <w:divBdr>
        <w:top w:val="none" w:sz="0" w:space="0" w:color="auto"/>
        <w:left w:val="none" w:sz="0" w:space="0" w:color="auto"/>
        <w:bottom w:val="none" w:sz="0" w:space="0" w:color="auto"/>
        <w:right w:val="none" w:sz="0" w:space="0" w:color="auto"/>
      </w:divBdr>
    </w:div>
    <w:div w:id="2057780937">
      <w:bodyDiv w:val="1"/>
      <w:marLeft w:val="0"/>
      <w:marRight w:val="0"/>
      <w:marTop w:val="0"/>
      <w:marBottom w:val="0"/>
      <w:divBdr>
        <w:top w:val="none" w:sz="0" w:space="0" w:color="auto"/>
        <w:left w:val="none" w:sz="0" w:space="0" w:color="auto"/>
        <w:bottom w:val="none" w:sz="0" w:space="0" w:color="auto"/>
        <w:right w:val="none" w:sz="0" w:space="0" w:color="auto"/>
      </w:divBdr>
      <w:divsChild>
        <w:div w:id="20155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df.cl" TargetMode="External"/><Relationship Id="rId13" Type="http://schemas.openxmlformats.org/officeDocument/2006/relationships/hyperlink" Target="http://www.rebel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belion.org/mostrar.php?tipo=5&amp;id=Mario%20R.%20Fern%E1ndez&amp;inicio=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roject-syndicate.org" TargetMode="External"/><Relationship Id="rId10" Type="http://schemas.openxmlformats.org/officeDocument/2006/relationships/hyperlink" Target="http://www.project-syndicate.org" TargetMode="External"/><Relationship Id="rId4" Type="http://schemas.openxmlformats.org/officeDocument/2006/relationships/settings" Target="settings.xml"/><Relationship Id="rId9" Type="http://schemas.openxmlformats.org/officeDocument/2006/relationships/hyperlink" Target="http://www.alainet.org/es/articulo/169670" TargetMode="External"/><Relationship Id="rId14" Type="http://schemas.openxmlformats.org/officeDocument/2006/relationships/hyperlink" Target="http://www.opsur.org.ar/blo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on.worldbank.org/WBSITE/EXTERNAL/EXTDEC/EXTDECPROSPECTS/0,,contentMDK:21574907~menuPK:7859231~pagePK:64165401~piPK:64165026~theSitePK:476883,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607FE-4F6D-4E04-8CC0-2BDB29C9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10205</Words>
  <Characters>56131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66204</CharactersWithSpaces>
  <SharedDoc>false</SharedDoc>
  <HLinks>
    <vt:vector size="48" baseType="variant">
      <vt:variant>
        <vt:i4>6094928</vt:i4>
      </vt:variant>
      <vt:variant>
        <vt:i4>21</vt:i4>
      </vt:variant>
      <vt:variant>
        <vt:i4>0</vt:i4>
      </vt:variant>
      <vt:variant>
        <vt:i4>5</vt:i4>
      </vt:variant>
      <vt:variant>
        <vt:lpwstr>http://www.project-syndicate.org/</vt:lpwstr>
      </vt:variant>
      <vt:variant>
        <vt:lpwstr/>
      </vt:variant>
      <vt:variant>
        <vt:i4>524376</vt:i4>
      </vt:variant>
      <vt:variant>
        <vt:i4>18</vt:i4>
      </vt:variant>
      <vt:variant>
        <vt:i4>0</vt:i4>
      </vt:variant>
      <vt:variant>
        <vt:i4>5</vt:i4>
      </vt:variant>
      <vt:variant>
        <vt:lpwstr>http://www.opsur.org.ar/blog</vt:lpwstr>
      </vt:variant>
      <vt:variant>
        <vt:lpwstr/>
      </vt:variant>
      <vt:variant>
        <vt:i4>4915295</vt:i4>
      </vt:variant>
      <vt:variant>
        <vt:i4>15</vt:i4>
      </vt:variant>
      <vt:variant>
        <vt:i4>0</vt:i4>
      </vt:variant>
      <vt:variant>
        <vt:i4>5</vt:i4>
      </vt:variant>
      <vt:variant>
        <vt:lpwstr>http://www.rebelion.org/</vt:lpwstr>
      </vt:variant>
      <vt:variant>
        <vt:lpwstr/>
      </vt:variant>
      <vt:variant>
        <vt:i4>6553662</vt:i4>
      </vt:variant>
      <vt:variant>
        <vt:i4>12</vt:i4>
      </vt:variant>
      <vt:variant>
        <vt:i4>0</vt:i4>
      </vt:variant>
      <vt:variant>
        <vt:i4>5</vt:i4>
      </vt:variant>
      <vt:variant>
        <vt:lpwstr>http://www.rebelion.org/mostrar.php?tipo=5&amp;id=Mario%20R.%20Fern%E1ndez&amp;inicio=0</vt:lpwstr>
      </vt:variant>
      <vt:variant>
        <vt:lpwstr/>
      </vt:variant>
      <vt:variant>
        <vt:i4>6094928</vt:i4>
      </vt:variant>
      <vt:variant>
        <vt:i4>6</vt:i4>
      </vt:variant>
      <vt:variant>
        <vt:i4>0</vt:i4>
      </vt:variant>
      <vt:variant>
        <vt:i4>5</vt:i4>
      </vt:variant>
      <vt:variant>
        <vt:lpwstr>http://www.project-syndicate.org/</vt:lpwstr>
      </vt:variant>
      <vt:variant>
        <vt:lpwstr/>
      </vt:variant>
      <vt:variant>
        <vt:i4>5046277</vt:i4>
      </vt:variant>
      <vt:variant>
        <vt:i4>3</vt:i4>
      </vt:variant>
      <vt:variant>
        <vt:i4>0</vt:i4>
      </vt:variant>
      <vt:variant>
        <vt:i4>5</vt:i4>
      </vt:variant>
      <vt:variant>
        <vt:lpwstr>http://www.alainet.org/es/articulo/169670</vt:lpwstr>
      </vt:variant>
      <vt:variant>
        <vt:lpwstr/>
      </vt:variant>
      <vt:variant>
        <vt:i4>852053</vt:i4>
      </vt:variant>
      <vt:variant>
        <vt:i4>0</vt:i4>
      </vt:variant>
      <vt:variant>
        <vt:i4>0</vt:i4>
      </vt:variant>
      <vt:variant>
        <vt:i4>5</vt:i4>
      </vt:variant>
      <vt:variant>
        <vt:lpwstr>http://www.df.cl/</vt:lpwstr>
      </vt:variant>
      <vt:variant>
        <vt:lpwstr/>
      </vt:variant>
      <vt:variant>
        <vt:i4>1900611</vt:i4>
      </vt:variant>
      <vt:variant>
        <vt:i4>0</vt:i4>
      </vt:variant>
      <vt:variant>
        <vt:i4>0</vt:i4>
      </vt:variant>
      <vt:variant>
        <vt:i4>5</vt:i4>
      </vt:variant>
      <vt:variant>
        <vt:lpwstr>http://econ.worldbank.org/WBSITE/EXTERNAL/EXTDEC/EXTDECPROSPECTS/0,,contentMDK:21574907~menuPK:7859231~pagePK:64165401~piPK:64165026~theSitePK:476883,00.html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2016-02-09T21:12:00Z</dcterms:created>
  <dcterms:modified xsi:type="dcterms:W3CDTF">2016-02-09T21:12:00Z</dcterms:modified>
</cp:coreProperties>
</file>