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32" w:rsidRPr="00C87F32" w:rsidRDefault="00C87F32" w:rsidP="00C87F32">
      <w:pPr>
        <w:spacing w:after="0" w:line="615" w:lineRule="atLeast"/>
        <w:jc w:val="center"/>
        <w:outlineLvl w:val="0"/>
        <w:rPr>
          <w:rFonts w:ascii="Helvetica" w:eastAsia="Times New Roman" w:hAnsi="Helvetica" w:cs="Helvetica"/>
          <w:b/>
          <w:color w:val="C00000"/>
          <w:spacing w:val="-16"/>
          <w:kern w:val="36"/>
          <w:sz w:val="52"/>
          <w:szCs w:val="52"/>
          <w:lang w:eastAsia="es-ES"/>
        </w:rPr>
      </w:pPr>
      <w:r w:rsidRPr="00C87F32">
        <w:rPr>
          <w:rFonts w:ascii="Helvetica" w:eastAsia="Times New Roman" w:hAnsi="Helvetica" w:cs="Helvetica"/>
          <w:b/>
          <w:color w:val="C00000"/>
          <w:spacing w:val="-16"/>
          <w:kern w:val="36"/>
          <w:sz w:val="52"/>
          <w:szCs w:val="52"/>
          <w:lang w:eastAsia="es-ES"/>
        </w:rPr>
        <w:t>Abogados denuncian violación del debido proceso de niños migrantes y deportaciones aceleradas</w:t>
      </w:r>
    </w:p>
    <w:p w:rsidR="00C87F32" w:rsidRDefault="00C87F32" w:rsidP="00C87F32">
      <w:pPr>
        <w:spacing w:after="0" w:line="390" w:lineRule="atLeast"/>
        <w:jc w:val="both"/>
        <w:rPr>
          <w:rFonts w:ascii="Helvetica" w:eastAsia="Times New Roman" w:hAnsi="Helvetica" w:cs="Helvetica"/>
          <w:color w:val="440062"/>
          <w:sz w:val="24"/>
          <w:szCs w:val="24"/>
          <w:lang w:eastAsia="es-ES"/>
        </w:rPr>
      </w:pPr>
    </w:p>
    <w:p w:rsidR="00C87F32" w:rsidRPr="00C87F32" w:rsidRDefault="00C87F32" w:rsidP="00C87F32">
      <w:pPr>
        <w:spacing w:after="0"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Miles de migrantes centroamericanos que han recibido una orden de deportación no están enteraros y no saben que pueden apelar sus casos si son arrestados durante una redada de agentes de ICE.</w:t>
      </w:r>
    </w:p>
    <w:p w:rsidR="00C87F32" w:rsidRPr="00C87F32" w:rsidRDefault="00C87F32" w:rsidP="00C87F32">
      <w:pPr>
        <w:spacing w:after="0" w:line="240" w:lineRule="auto"/>
        <w:jc w:val="both"/>
        <w:rPr>
          <w:rFonts w:ascii="Verdana" w:eastAsia="Times New Roman" w:hAnsi="Verdana" w:cs="Times New Roman"/>
          <w:color w:val="000000"/>
          <w:sz w:val="24"/>
          <w:szCs w:val="24"/>
          <w:lang w:eastAsia="es-ES"/>
        </w:rPr>
      </w:pPr>
      <w:r w:rsidRPr="00C87F32">
        <w:rPr>
          <w:rFonts w:ascii="Verdana" w:eastAsia="Times New Roman" w:hAnsi="Verdana" w:cs="Times New Roman"/>
          <w:color w:val="440062"/>
          <w:sz w:val="24"/>
          <w:szCs w:val="24"/>
          <w:lang w:eastAsia="es-ES"/>
        </w:rPr>
        <w:t> </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Organizaciones que defienden los derechos de los inmigrantes y la Asociación Americana de Abogados de Inmigración (AILA, por sus siglas en inglés) reiteraron el jueves que el gobierno federal viola el debido proceso de menores migrantes centroamericanos que buscan asilo, y acelera sus deportaciones.</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“Las autoridades de inmigración no informa a los detenidos durante redadas que tienen derecho a hablar con un abogado, y los están deportando sin ejercer el derecho de apelar”, dijo a </w:t>
      </w:r>
      <w:proofErr w:type="spellStart"/>
      <w:r w:rsidRPr="00C87F32">
        <w:rPr>
          <w:rFonts w:ascii="Helvetica" w:eastAsia="Times New Roman" w:hAnsi="Helvetica" w:cs="Helvetica"/>
          <w:color w:val="440062"/>
          <w:sz w:val="24"/>
          <w:szCs w:val="24"/>
          <w:lang w:eastAsia="es-ES"/>
        </w:rPr>
        <w:t>Univision</w:t>
      </w:r>
      <w:proofErr w:type="spellEnd"/>
      <w:r w:rsidRPr="00C87F32">
        <w:rPr>
          <w:rFonts w:ascii="Helvetica" w:eastAsia="Times New Roman" w:hAnsi="Helvetica" w:cs="Helvetica"/>
          <w:color w:val="440062"/>
          <w:sz w:val="24"/>
          <w:szCs w:val="24"/>
          <w:lang w:eastAsia="es-ES"/>
        </w:rPr>
        <w:t xml:space="preserve"> Noticias </w:t>
      </w:r>
      <w:proofErr w:type="spellStart"/>
      <w:r w:rsidRPr="00C87F32">
        <w:rPr>
          <w:rFonts w:ascii="Helvetica" w:eastAsia="Times New Roman" w:hAnsi="Helvetica" w:cs="Helvetica"/>
          <w:color w:val="440062"/>
          <w:sz w:val="24"/>
          <w:szCs w:val="24"/>
          <w:lang w:eastAsia="es-ES"/>
        </w:rPr>
        <w:t>Johana</w:t>
      </w:r>
      <w:proofErr w:type="spellEnd"/>
      <w:r w:rsidRPr="00C87F32">
        <w:rPr>
          <w:rFonts w:ascii="Helvetica" w:eastAsia="Times New Roman" w:hAnsi="Helvetica" w:cs="Helvetica"/>
          <w:color w:val="440062"/>
          <w:sz w:val="24"/>
          <w:szCs w:val="24"/>
          <w:lang w:eastAsia="es-ES"/>
        </w:rPr>
        <w:t xml:space="preserve"> De León, activista de la organización RAICES, en Texas.</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A comienzos de mayo se conoció que la Oficina de Inmigración y Aduanas (ICE, por su sigla en inglés) llevaría a cabo nuevas operaciones para arrestar a migrantes que ingresaron al país después del 1 de enero de 2010, no tienen causa de asilo y recibieron una orden de deportación.</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El Departamento de Seguridad Nacional (DHS, por su sigla en inglés) dijo que esta categoría de personas se encuentra en la lista de prioridades de deportación anunciada el 20 de noviembre de 2014. ICE respondió que no comentaba sus “operaciones en curso”.</w:t>
      </w:r>
    </w:p>
    <w:p w:rsidR="00C87F32" w:rsidRPr="00C87F32" w:rsidRDefault="00C87F32" w:rsidP="00C87F32">
      <w:pPr>
        <w:spacing w:after="0" w:line="240" w:lineRule="auto"/>
        <w:rPr>
          <w:rFonts w:ascii="Verdana" w:eastAsia="Times New Roman" w:hAnsi="Verdana" w:cs="Times New Roman"/>
          <w:color w:val="440062"/>
          <w:sz w:val="24"/>
          <w:szCs w:val="24"/>
          <w:lang w:eastAsia="es-ES"/>
        </w:rPr>
      </w:pPr>
      <w:r w:rsidRPr="00C87F32">
        <w:rPr>
          <w:rFonts w:ascii="Verdana" w:eastAsia="Times New Roman" w:hAnsi="Verdana" w:cs="Times New Roman"/>
          <w:color w:val="440062"/>
          <w:sz w:val="24"/>
          <w:szCs w:val="24"/>
          <w:lang w:eastAsia="es-ES"/>
        </w:rPr>
        <w:t> </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t>Operaciones en curso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Tanto AILA como RAICES y los abogados del Proyecto Pro-Bono CARA, que asisten a decenas de migrantes, dijeron que han brindado asistencia a 16 familias detenidas durante redadas recientes y que se encuentran en el centro de detención de </w:t>
      </w:r>
      <w:proofErr w:type="spellStart"/>
      <w:r w:rsidRPr="00C87F32">
        <w:rPr>
          <w:rFonts w:ascii="Helvetica" w:eastAsia="Times New Roman" w:hAnsi="Helvetica" w:cs="Helvetica"/>
          <w:color w:val="440062"/>
          <w:sz w:val="24"/>
          <w:szCs w:val="24"/>
          <w:lang w:eastAsia="es-ES"/>
        </w:rPr>
        <w:t>Karnes</w:t>
      </w:r>
      <w:proofErr w:type="spellEnd"/>
      <w:r w:rsidRPr="00C87F32">
        <w:rPr>
          <w:rFonts w:ascii="Helvetica" w:eastAsia="Times New Roman" w:hAnsi="Helvetica" w:cs="Helvetica"/>
          <w:color w:val="440062"/>
          <w:sz w:val="24"/>
          <w:szCs w:val="24"/>
          <w:lang w:eastAsia="es-ES"/>
        </w:rPr>
        <w:t xml:space="preserve"> City localizado en San Antonio, Texas.</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lastRenderedPageBreak/>
        <w:t>“La mayoría de los detenidos fueron arrestados en Carolina del Norte, Georgia y Texas”, dijo De León. Los tres estados fueron afectados por batidas similares llevadas a cabo la primera semana de enero.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RAICES dijo que de acuerdo con estadísticas del propio gobierno, en estas jurisdicciones operan algunas de las cortes de inmigración más difíciles para conseguir un fallo favorable en un caso de asilo.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t>Un caso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El martes, a pesar de saber que una familia tenía miedo de morir en su país de origen si era deportada después que le negaron su caso de asilo, y a pesar de saber las autoridades que los abogados habían solicitado una suspensión de la expulsión y estaban en medio de una apelación, ICE deportó a una madre y su hija de 14 años de edad detenidas en el centro de detención de </w:t>
      </w:r>
      <w:proofErr w:type="spellStart"/>
      <w:r w:rsidRPr="00C87F32">
        <w:rPr>
          <w:rFonts w:ascii="Helvetica" w:eastAsia="Times New Roman" w:hAnsi="Helvetica" w:cs="Helvetica"/>
          <w:color w:val="440062"/>
          <w:sz w:val="24"/>
          <w:szCs w:val="24"/>
          <w:lang w:eastAsia="es-ES"/>
        </w:rPr>
        <w:t>Dilley</w:t>
      </w:r>
      <w:proofErr w:type="spellEnd"/>
      <w:r w:rsidRPr="00C87F32">
        <w:rPr>
          <w:rFonts w:ascii="Helvetica" w:eastAsia="Times New Roman" w:hAnsi="Helvetica" w:cs="Helvetica"/>
          <w:color w:val="440062"/>
          <w:sz w:val="24"/>
          <w:szCs w:val="24"/>
          <w:lang w:eastAsia="es-ES"/>
        </w:rPr>
        <w:t>, denunció Proyecto Pro-Bono CARA.</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"Al igual que en enero, estamos viendo a madres y niños que están confundidos, desorientados y aterrados”, dijo </w:t>
      </w:r>
      <w:proofErr w:type="spellStart"/>
      <w:r w:rsidRPr="00C87F32">
        <w:rPr>
          <w:rFonts w:ascii="Helvetica" w:eastAsia="Times New Roman" w:hAnsi="Helvetica" w:cs="Helvetica"/>
          <w:color w:val="440062"/>
          <w:sz w:val="24"/>
          <w:szCs w:val="24"/>
          <w:lang w:eastAsia="es-ES"/>
        </w:rPr>
        <w:t>Katie</w:t>
      </w:r>
      <w:proofErr w:type="spellEnd"/>
      <w:r w:rsidRPr="00C87F32">
        <w:rPr>
          <w:rFonts w:ascii="Helvetica" w:eastAsia="Times New Roman" w:hAnsi="Helvetica" w:cs="Helvetica"/>
          <w:color w:val="440062"/>
          <w:sz w:val="24"/>
          <w:szCs w:val="24"/>
          <w:lang w:eastAsia="es-ES"/>
        </w:rPr>
        <w:t xml:space="preserve"> Pastor, procuradora delegada de CARA.</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Pastor dijo que las preocupaciones también están dirigidas a satisfacer las necesidades de la nueva afluencia de solicitantes de asilo que no han tenido una oportunidad significativa para que sus solicitudes de protección sean aprobadas y no tengan que enfrentar el riesgo de muerte en caso de ser deportados a sus países de origen”.</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 “El caso fue desgarrador. ICE conocía que esta madre tenía miedo y que los abogados habían presentado una solicitud de hospitalización y varias gestiones en su nombre. En lugar de permitir que los recursos avanzaran, la deportó rápidamente junto con su hija e informaron a los abogados después de la expulsión”, dijo Pastor.</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CARA dijo que este caso era “indignante” y que las autoridades no tuvieron en cuenta el temor a ser deportada expresado por la migrante en su apelación. “ICE decidió acelerar la deportación en horas de la noche y ponerlos en un avión antes de que las puertas de los tribunales fueran abiertas”, indicó Pastor.</w:t>
      </w:r>
    </w:p>
    <w:p w:rsidR="00C87F32" w:rsidRDefault="00C87F32" w:rsidP="00C87F32">
      <w:pPr>
        <w:spacing w:line="390" w:lineRule="atLeast"/>
        <w:jc w:val="both"/>
        <w:rPr>
          <w:rFonts w:ascii="Helvetica" w:eastAsia="Times New Roman" w:hAnsi="Helvetica" w:cs="Helvetica"/>
          <w:b/>
          <w:bCs/>
          <w:color w:val="440062"/>
          <w:sz w:val="24"/>
          <w:szCs w:val="24"/>
          <w:lang w:eastAsia="es-ES"/>
        </w:rPr>
      </w:pP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lastRenderedPageBreak/>
        <w:t>Postura del gobierno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El DHS insiste en que, “como hemos dicho en repetidas ocasiones, debemos hacer cumplir la ley en consonancia con nuestras prioridades” en resguardo de la seguridad </w:t>
      </w:r>
      <w:proofErr w:type="spellStart"/>
      <w:r w:rsidRPr="00C87F32">
        <w:rPr>
          <w:rFonts w:ascii="Helvetica" w:eastAsia="Times New Roman" w:hAnsi="Helvetica" w:cs="Helvetica"/>
          <w:color w:val="440062"/>
          <w:sz w:val="24"/>
          <w:szCs w:val="24"/>
          <w:lang w:eastAsia="es-ES"/>
        </w:rPr>
        <w:t>publica</w:t>
      </w:r>
      <w:proofErr w:type="spellEnd"/>
      <w:r w:rsidRPr="00C87F32">
        <w:rPr>
          <w:rFonts w:ascii="Helvetica" w:eastAsia="Times New Roman" w:hAnsi="Helvetica" w:cs="Helvetica"/>
          <w:color w:val="440062"/>
          <w:sz w:val="24"/>
          <w:szCs w:val="24"/>
          <w:lang w:eastAsia="es-ES"/>
        </w:rPr>
        <w:t xml:space="preserve"> y fronteriza.</w:t>
      </w:r>
    </w:p>
    <w:p w:rsidR="00C87F32" w:rsidRPr="00C87F32" w:rsidRDefault="00C87F32" w:rsidP="00C87F32">
      <w:pPr>
        <w:spacing w:after="0" w:line="240" w:lineRule="auto"/>
        <w:jc w:val="both"/>
        <w:rPr>
          <w:rFonts w:ascii="Helvetica" w:eastAsia="Times New Roman" w:hAnsi="Helvetica" w:cs="Helvetica"/>
          <w:color w:val="000000"/>
          <w:sz w:val="24"/>
          <w:szCs w:val="24"/>
          <w:lang w:eastAsia="es-ES"/>
        </w:rPr>
      </w:pPr>
      <w:proofErr w:type="gramStart"/>
      <w:r w:rsidRPr="00C87F32">
        <w:rPr>
          <w:rFonts w:ascii="Helvetica" w:eastAsia="Times New Roman" w:hAnsi="Helvetica" w:cs="Helvetica"/>
          <w:color w:val="440062"/>
          <w:sz w:val="24"/>
          <w:szCs w:val="24"/>
          <w:lang w:eastAsia="es-ES"/>
        </w:rPr>
        <w:t>publicidad</w:t>
      </w:r>
      <w:proofErr w:type="gramEnd"/>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El departamento recordó la vigencia de la “lista de prioridades de deportación” del 20 de noviembre del 2014, que incluye a los adultos individuales, así como los adultos que llevan a sus hijos con ellos” y que tratan de ingresar indocumentados al país.</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“Debemos hacer cumplir la ley en consonancia con nuestras prioridades. Vamos a seguir haciéndolo”, aseguró el DHS.</w:t>
      </w:r>
    </w:p>
    <w:p w:rsidR="00C87F32" w:rsidRPr="00C87F32" w:rsidRDefault="00C87F32" w:rsidP="00C87F32">
      <w:pPr>
        <w:spacing w:after="0" w:line="240" w:lineRule="auto"/>
        <w:rPr>
          <w:rFonts w:ascii="Verdana" w:eastAsia="Times New Roman" w:hAnsi="Verdana" w:cs="Times New Roman"/>
          <w:color w:val="440062"/>
          <w:sz w:val="24"/>
          <w:szCs w:val="24"/>
          <w:lang w:eastAsia="es-ES"/>
        </w:rPr>
      </w:pPr>
      <w:r w:rsidRPr="00C87F32">
        <w:rPr>
          <w:rFonts w:ascii="Verdana" w:eastAsia="Times New Roman" w:hAnsi="Verdana" w:cs="Times New Roman"/>
          <w:color w:val="440062"/>
          <w:sz w:val="24"/>
          <w:szCs w:val="24"/>
          <w:lang w:eastAsia="es-ES"/>
        </w:rPr>
        <w:t> </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t>Fallo en suspenso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En agosto del año pasado una corte del centro de Texas ordenó a ICE, en base a un acuerdo judicial alcanzado en 1997, que libere a los niños y sus madres detenidos en los centros familiares de </w:t>
      </w:r>
      <w:proofErr w:type="spellStart"/>
      <w:r w:rsidRPr="00C87F32">
        <w:rPr>
          <w:rFonts w:ascii="Helvetica" w:eastAsia="Times New Roman" w:hAnsi="Helvetica" w:cs="Helvetica"/>
          <w:color w:val="440062"/>
          <w:sz w:val="24"/>
          <w:szCs w:val="24"/>
          <w:lang w:eastAsia="es-ES"/>
        </w:rPr>
        <w:t>Karnes</w:t>
      </w:r>
      <w:proofErr w:type="spellEnd"/>
      <w:r w:rsidRPr="00C87F32">
        <w:rPr>
          <w:rFonts w:ascii="Helvetica" w:eastAsia="Times New Roman" w:hAnsi="Helvetica" w:cs="Helvetica"/>
          <w:color w:val="440062"/>
          <w:sz w:val="24"/>
          <w:szCs w:val="24"/>
          <w:lang w:eastAsia="es-ES"/>
        </w:rPr>
        <w:t xml:space="preserve"> City y </w:t>
      </w:r>
      <w:proofErr w:type="spellStart"/>
      <w:r w:rsidRPr="00C87F32">
        <w:rPr>
          <w:rFonts w:ascii="Helvetica" w:eastAsia="Times New Roman" w:hAnsi="Helvetica" w:cs="Helvetica"/>
          <w:color w:val="440062"/>
          <w:sz w:val="24"/>
          <w:szCs w:val="24"/>
          <w:lang w:eastAsia="es-ES"/>
        </w:rPr>
        <w:t>Dilley</w:t>
      </w:r>
      <w:proofErr w:type="spellEnd"/>
      <w:r w:rsidRPr="00C87F32">
        <w:rPr>
          <w:rFonts w:ascii="Helvetica" w:eastAsia="Times New Roman" w:hAnsi="Helvetica" w:cs="Helvetica"/>
          <w:color w:val="440062"/>
          <w:sz w:val="24"/>
          <w:szCs w:val="24"/>
          <w:lang w:eastAsia="es-ES"/>
        </w:rPr>
        <w:t xml:space="preserve">, y un tercero en el condado de </w:t>
      </w:r>
      <w:proofErr w:type="spellStart"/>
      <w:r w:rsidRPr="00C87F32">
        <w:rPr>
          <w:rFonts w:ascii="Helvetica" w:eastAsia="Times New Roman" w:hAnsi="Helvetica" w:cs="Helvetica"/>
          <w:color w:val="440062"/>
          <w:sz w:val="24"/>
          <w:szCs w:val="24"/>
          <w:lang w:eastAsia="es-ES"/>
        </w:rPr>
        <w:t>Berks</w:t>
      </w:r>
      <w:proofErr w:type="spellEnd"/>
      <w:r w:rsidRPr="00C87F32">
        <w:rPr>
          <w:rFonts w:ascii="Helvetica" w:eastAsia="Times New Roman" w:hAnsi="Helvetica" w:cs="Helvetica"/>
          <w:color w:val="440062"/>
          <w:sz w:val="24"/>
          <w:szCs w:val="24"/>
          <w:lang w:eastAsia="es-ES"/>
        </w:rPr>
        <w:t>, Pensilvania, porque los menores de edad no pueden ser enviados a centros de reclusión y privados de libertad.</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El DHS apeló el fallo y en febrero los centros de </w:t>
      </w:r>
      <w:proofErr w:type="spellStart"/>
      <w:r w:rsidRPr="00C87F32">
        <w:rPr>
          <w:rFonts w:ascii="Helvetica" w:eastAsia="Times New Roman" w:hAnsi="Helvetica" w:cs="Helvetica"/>
          <w:color w:val="440062"/>
          <w:sz w:val="24"/>
          <w:szCs w:val="24"/>
          <w:lang w:eastAsia="es-ES"/>
        </w:rPr>
        <w:t>Karnes</w:t>
      </w:r>
      <w:proofErr w:type="spellEnd"/>
      <w:r w:rsidRPr="00C87F32">
        <w:rPr>
          <w:rFonts w:ascii="Helvetica" w:eastAsia="Times New Roman" w:hAnsi="Helvetica" w:cs="Helvetica"/>
          <w:color w:val="440062"/>
          <w:sz w:val="24"/>
          <w:szCs w:val="24"/>
          <w:lang w:eastAsia="es-ES"/>
        </w:rPr>
        <w:t xml:space="preserve"> City y </w:t>
      </w:r>
      <w:proofErr w:type="spellStart"/>
      <w:r w:rsidRPr="00C87F32">
        <w:rPr>
          <w:rFonts w:ascii="Helvetica" w:eastAsia="Times New Roman" w:hAnsi="Helvetica" w:cs="Helvetica"/>
          <w:color w:val="440062"/>
          <w:sz w:val="24"/>
          <w:szCs w:val="24"/>
          <w:lang w:eastAsia="es-ES"/>
        </w:rPr>
        <w:t>Dilley</w:t>
      </w:r>
      <w:proofErr w:type="spellEnd"/>
      <w:r w:rsidRPr="00C87F32">
        <w:rPr>
          <w:rFonts w:ascii="Helvetica" w:eastAsia="Times New Roman" w:hAnsi="Helvetica" w:cs="Helvetica"/>
          <w:color w:val="440062"/>
          <w:sz w:val="24"/>
          <w:szCs w:val="24"/>
          <w:lang w:eastAsia="es-ES"/>
        </w:rPr>
        <w:t xml:space="preserve"> recibieron nuevas licencias de operación para funcionar como centros de cuidados infantiles.</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El gobierno insiste en que las cuestionadas cárceles de ICE “son compatibles con el mandato otorgado por el Congreso”.</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t>Miles en la mirilla</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Entre el 18 de julio de 2014 y el 26 de abril de 2016, las cortes de inmigración emitieron 31,994 órdenes de deportación relacionadas con menores migrantes solos y acompañados detenidos en la frontera entre Estados Unidos y México.</w:t>
      </w:r>
    </w:p>
    <w:p w:rsidR="00C87F32" w:rsidRDefault="00C87F32" w:rsidP="00C87F32">
      <w:pPr>
        <w:spacing w:line="390" w:lineRule="atLeast"/>
        <w:jc w:val="both"/>
        <w:rPr>
          <w:rFonts w:ascii="Helvetica" w:eastAsia="Times New Roman" w:hAnsi="Helvetica" w:cs="Helvetica"/>
          <w:color w:val="440062"/>
          <w:sz w:val="24"/>
          <w:szCs w:val="24"/>
          <w:lang w:eastAsia="es-ES"/>
        </w:rPr>
      </w:pPr>
      <w:r w:rsidRPr="00C87F32">
        <w:rPr>
          <w:rFonts w:ascii="Helvetica" w:eastAsia="Times New Roman" w:hAnsi="Helvetica" w:cs="Helvetica"/>
          <w:color w:val="440062"/>
          <w:sz w:val="24"/>
          <w:szCs w:val="24"/>
          <w:lang w:eastAsia="es-ES"/>
        </w:rPr>
        <w:t xml:space="preserve">Un reporte de la Oficina Ejecutiva de Asuntos de Inmigración del Departamento de Justicia solicitado por </w:t>
      </w:r>
      <w:proofErr w:type="spellStart"/>
      <w:r w:rsidRPr="00C87F32">
        <w:rPr>
          <w:rFonts w:ascii="Helvetica" w:eastAsia="Times New Roman" w:hAnsi="Helvetica" w:cs="Helvetica"/>
          <w:color w:val="440062"/>
          <w:sz w:val="24"/>
          <w:szCs w:val="24"/>
          <w:lang w:eastAsia="es-ES"/>
        </w:rPr>
        <w:t>Univision</w:t>
      </w:r>
      <w:proofErr w:type="spellEnd"/>
      <w:r w:rsidRPr="00C87F32">
        <w:rPr>
          <w:rFonts w:ascii="Helvetica" w:eastAsia="Times New Roman" w:hAnsi="Helvetica" w:cs="Helvetica"/>
          <w:color w:val="440062"/>
          <w:sz w:val="24"/>
          <w:szCs w:val="24"/>
          <w:lang w:eastAsia="es-ES"/>
        </w:rPr>
        <w:t xml:space="preserve"> Noticias reveló que en ese período de tiempo la Oficina Ejecutiva de Examen de casos de Inmigración (EOIR, por sus </w:t>
      </w:r>
      <w:r w:rsidRPr="00C87F32">
        <w:rPr>
          <w:rFonts w:ascii="Helvetica" w:eastAsia="Times New Roman" w:hAnsi="Helvetica" w:cs="Helvetica"/>
          <w:color w:val="440062"/>
          <w:sz w:val="24"/>
          <w:szCs w:val="24"/>
          <w:lang w:eastAsia="es-ES"/>
        </w:rPr>
        <w:lastRenderedPageBreak/>
        <w:t>siglas en inglés) recibió 108,115 casos, de ellos ha completado (resuelto) 51,723 (equivalente al 47.8%) y tiene pendientes de resolver 59,239 (52.2%).</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p>
    <w:p w:rsidR="00C87F32" w:rsidRDefault="00C87F32" w:rsidP="00C87F32">
      <w:pPr>
        <w:spacing w:after="72" w:line="240" w:lineRule="auto"/>
        <w:jc w:val="center"/>
        <w:outlineLvl w:val="0"/>
        <w:rPr>
          <w:rFonts w:ascii="Helvetica" w:eastAsia="Times New Roman" w:hAnsi="Helvetica" w:cs="Helvetica"/>
          <w:b/>
          <w:color w:val="440062"/>
          <w:spacing w:val="-14"/>
          <w:kern w:val="36"/>
          <w:sz w:val="36"/>
          <w:szCs w:val="36"/>
          <w:lang w:eastAsia="es-ES"/>
        </w:rPr>
      </w:pPr>
      <w:r w:rsidRPr="00C87F32">
        <w:rPr>
          <w:rFonts w:ascii="Helvetica" w:eastAsia="Times New Roman" w:hAnsi="Helvetica" w:cs="Helvetica"/>
          <w:b/>
          <w:color w:val="440062"/>
          <w:spacing w:val="-14"/>
          <w:kern w:val="36"/>
          <w:sz w:val="36"/>
          <w:szCs w:val="36"/>
          <w:lang w:eastAsia="es-ES"/>
        </w:rPr>
        <w:t>Se disparan órdenes de deportación de menores</w:t>
      </w:r>
    </w:p>
    <w:p w:rsidR="00C87F32" w:rsidRPr="00C87F32" w:rsidRDefault="00C87F32" w:rsidP="00C87F32">
      <w:pPr>
        <w:spacing w:after="72" w:line="240" w:lineRule="auto"/>
        <w:jc w:val="center"/>
        <w:outlineLvl w:val="0"/>
        <w:rPr>
          <w:rFonts w:ascii="Helvetica" w:eastAsia="Times New Roman" w:hAnsi="Helvetica" w:cs="Helvetica"/>
          <w:b/>
          <w:color w:val="000000"/>
          <w:spacing w:val="-14"/>
          <w:kern w:val="36"/>
          <w:sz w:val="36"/>
          <w:szCs w:val="36"/>
          <w:lang w:eastAsia="es-ES"/>
        </w:rPr>
      </w:pPr>
    </w:p>
    <w:p w:rsidR="00C87F32" w:rsidRDefault="00C87F32" w:rsidP="00C87F32">
      <w:pPr>
        <w:spacing w:line="240" w:lineRule="auto"/>
        <w:outlineLvl w:val="0"/>
        <w:rPr>
          <w:rFonts w:ascii="Helvetica" w:eastAsia="Times New Roman" w:hAnsi="Helvetica" w:cs="Helvetica"/>
          <w:color w:val="440062"/>
          <w:spacing w:val="1"/>
          <w:kern w:val="36"/>
          <w:sz w:val="23"/>
          <w:szCs w:val="23"/>
          <w:lang w:eastAsia="es-ES"/>
        </w:rPr>
      </w:pPr>
      <w:r w:rsidRPr="00C87F32">
        <w:rPr>
          <w:rFonts w:ascii="Helvetica" w:eastAsia="Times New Roman" w:hAnsi="Helvetica" w:cs="Helvetica"/>
          <w:color w:val="440062"/>
          <w:spacing w:val="1"/>
          <w:kern w:val="36"/>
          <w:sz w:val="23"/>
          <w:szCs w:val="23"/>
          <w:lang w:eastAsia="es-ES"/>
        </w:rPr>
        <w:t>Casos manejados por cortes de inmigración relacionados con menores no acompañados, unidades familiares y migrantes recientes detenidos en la frontera.</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7"/>
        <w:gridCol w:w="1336"/>
        <w:gridCol w:w="1712"/>
        <w:gridCol w:w="1737"/>
        <w:gridCol w:w="1530"/>
      </w:tblGrid>
      <w:tr w:rsidR="00C87F32" w:rsidRPr="00C87F32" w:rsidTr="00676A6B">
        <w:trPr>
          <w:tblHeader/>
        </w:trPr>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70" w:type="dxa"/>
            </w:tcMar>
            <w:hideMark/>
          </w:tcPr>
          <w:p w:rsidR="00C87F32" w:rsidRPr="00C87F32" w:rsidRDefault="00C87F32" w:rsidP="00676A6B">
            <w:pPr>
              <w:spacing w:after="0" w:line="270" w:lineRule="atLeast"/>
              <w:jc w:val="center"/>
              <w:rPr>
                <w:rFonts w:ascii="Helvetica" w:eastAsia="Times New Roman" w:hAnsi="Helvetica" w:cs="Helvetica"/>
                <w:b/>
                <w:bCs/>
                <w:sz w:val="23"/>
                <w:szCs w:val="23"/>
                <w:lang w:eastAsia="es-ES"/>
              </w:rPr>
            </w:pP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70" w:type="dxa"/>
            </w:tcMar>
            <w:hideMark/>
          </w:tcPr>
          <w:p w:rsidR="00C87F32" w:rsidRPr="00C87F32" w:rsidRDefault="00C87F32" w:rsidP="00676A6B">
            <w:pPr>
              <w:spacing w:after="0" w:line="270" w:lineRule="atLeast"/>
              <w:jc w:val="right"/>
              <w:rPr>
                <w:rFonts w:ascii="Helvetica" w:eastAsia="Times New Roman" w:hAnsi="Helvetica" w:cs="Helvetica"/>
                <w:b/>
                <w:bCs/>
                <w:sz w:val="23"/>
                <w:szCs w:val="23"/>
                <w:lang w:eastAsia="es-ES"/>
              </w:rPr>
            </w:pPr>
            <w:r w:rsidRPr="00C87F32">
              <w:rPr>
                <w:rFonts w:ascii="Helvetica" w:eastAsia="Times New Roman" w:hAnsi="Helvetica" w:cs="Helvetica"/>
                <w:b/>
                <w:bCs/>
                <w:color w:val="440062"/>
                <w:sz w:val="23"/>
                <w:szCs w:val="23"/>
                <w:lang w:eastAsia="es-ES"/>
              </w:rPr>
              <w:t>Total de casos</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70" w:type="dxa"/>
            </w:tcMar>
            <w:hideMark/>
          </w:tcPr>
          <w:p w:rsidR="00C87F32" w:rsidRPr="00C87F32" w:rsidRDefault="00C87F32" w:rsidP="00676A6B">
            <w:pPr>
              <w:spacing w:after="0" w:line="270" w:lineRule="atLeast"/>
              <w:jc w:val="right"/>
              <w:rPr>
                <w:rFonts w:ascii="Helvetica" w:eastAsia="Times New Roman" w:hAnsi="Helvetica" w:cs="Helvetica"/>
                <w:b/>
                <w:bCs/>
                <w:sz w:val="23"/>
                <w:szCs w:val="23"/>
                <w:lang w:eastAsia="es-ES"/>
              </w:rPr>
            </w:pPr>
            <w:r w:rsidRPr="00C87F32">
              <w:rPr>
                <w:rFonts w:ascii="Helvetica" w:eastAsia="Times New Roman" w:hAnsi="Helvetica" w:cs="Helvetica"/>
                <w:b/>
                <w:bCs/>
                <w:color w:val="440062"/>
                <w:sz w:val="23"/>
                <w:szCs w:val="23"/>
                <w:lang w:eastAsia="es-ES"/>
              </w:rPr>
              <w:t>Casos procesados</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70" w:type="dxa"/>
            </w:tcMar>
            <w:hideMark/>
          </w:tcPr>
          <w:p w:rsidR="00C87F32" w:rsidRPr="00C87F32" w:rsidRDefault="00C87F32" w:rsidP="00676A6B">
            <w:pPr>
              <w:spacing w:after="0" w:line="270" w:lineRule="atLeast"/>
              <w:jc w:val="right"/>
              <w:rPr>
                <w:rFonts w:ascii="Helvetica" w:eastAsia="Times New Roman" w:hAnsi="Helvetica" w:cs="Helvetica"/>
                <w:b/>
                <w:bCs/>
                <w:sz w:val="23"/>
                <w:szCs w:val="23"/>
                <w:lang w:eastAsia="es-ES"/>
              </w:rPr>
            </w:pPr>
            <w:r w:rsidRPr="00C87F32">
              <w:rPr>
                <w:rFonts w:ascii="Helvetica" w:eastAsia="Times New Roman" w:hAnsi="Helvetica" w:cs="Helvetica"/>
                <w:b/>
                <w:bCs/>
                <w:color w:val="440062"/>
                <w:sz w:val="23"/>
                <w:szCs w:val="23"/>
                <w:lang w:eastAsia="es-ES"/>
              </w:rPr>
              <w:t>Órdenes de deportación</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70" w:type="dxa"/>
            </w:tcMar>
            <w:hideMark/>
          </w:tcPr>
          <w:p w:rsidR="00C87F32" w:rsidRPr="00C87F32" w:rsidRDefault="00C87F32" w:rsidP="00676A6B">
            <w:pPr>
              <w:spacing w:after="0" w:line="270" w:lineRule="atLeast"/>
              <w:jc w:val="right"/>
              <w:rPr>
                <w:rFonts w:ascii="Helvetica" w:eastAsia="Times New Roman" w:hAnsi="Helvetica" w:cs="Helvetica"/>
                <w:b/>
                <w:bCs/>
                <w:sz w:val="23"/>
                <w:szCs w:val="23"/>
                <w:lang w:eastAsia="es-ES"/>
              </w:rPr>
            </w:pPr>
            <w:r w:rsidRPr="00C87F32">
              <w:rPr>
                <w:rFonts w:ascii="Helvetica" w:eastAsia="Times New Roman" w:hAnsi="Helvetica" w:cs="Helvetica"/>
                <w:b/>
                <w:bCs/>
                <w:color w:val="440062"/>
                <w:sz w:val="23"/>
                <w:szCs w:val="23"/>
                <w:lang w:eastAsia="es-ES"/>
              </w:rPr>
              <w:t>Otros</w:t>
            </w:r>
          </w:p>
        </w:tc>
      </w:tr>
      <w:tr w:rsidR="00C87F32" w:rsidRPr="00C87F32" w:rsidTr="00676A6B">
        <w:trPr>
          <w:trHeight w:val="610"/>
        </w:trPr>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Menores no acompañados</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64,065</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27,500</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b/>
                <w:bCs/>
                <w:sz w:val="27"/>
                <w:szCs w:val="27"/>
                <w:lang w:eastAsia="es-ES"/>
              </w:rPr>
            </w:pPr>
            <w:r w:rsidRPr="00C87F32">
              <w:rPr>
                <w:rFonts w:ascii="Arial" w:eastAsia="Times New Roman" w:hAnsi="Arial" w:cs="Arial"/>
                <w:b/>
                <w:bCs/>
                <w:color w:val="440062"/>
                <w:sz w:val="27"/>
                <w:szCs w:val="27"/>
                <w:lang w:eastAsia="es-ES"/>
              </w:rPr>
              <w:t>11,767</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15,733</w:t>
            </w:r>
          </w:p>
        </w:tc>
      </w:tr>
      <w:tr w:rsidR="00C87F32" w:rsidRPr="00C87F32" w:rsidTr="00676A6B">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Unidades familiares (liberadas)</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39,310</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21,488</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b/>
                <w:bCs/>
                <w:sz w:val="27"/>
                <w:szCs w:val="27"/>
                <w:lang w:eastAsia="es-ES"/>
              </w:rPr>
            </w:pPr>
            <w:r w:rsidRPr="00C87F32">
              <w:rPr>
                <w:rFonts w:ascii="Arial" w:eastAsia="Times New Roman" w:hAnsi="Arial" w:cs="Arial"/>
                <w:b/>
                <w:bCs/>
                <w:color w:val="440062"/>
                <w:sz w:val="27"/>
                <w:szCs w:val="27"/>
                <w:lang w:eastAsia="es-ES"/>
              </w:rPr>
              <w:t>18,206</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3,282</w:t>
            </w:r>
          </w:p>
        </w:tc>
      </w:tr>
      <w:tr w:rsidR="00C87F32" w:rsidRPr="00C87F32" w:rsidTr="00676A6B">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Unidades familiares (detenidas)</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4,740</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2,695</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b/>
                <w:bCs/>
                <w:sz w:val="27"/>
                <w:szCs w:val="27"/>
                <w:lang w:eastAsia="es-ES"/>
              </w:rPr>
            </w:pPr>
            <w:r w:rsidRPr="00C87F32">
              <w:rPr>
                <w:rFonts w:ascii="Arial" w:eastAsia="Times New Roman" w:hAnsi="Arial" w:cs="Arial"/>
                <w:b/>
                <w:bCs/>
                <w:color w:val="440062"/>
                <w:sz w:val="27"/>
                <w:szCs w:val="27"/>
                <w:lang w:eastAsia="es-ES"/>
              </w:rPr>
              <w:t>2,021</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674</w:t>
            </w:r>
          </w:p>
        </w:tc>
      </w:tr>
      <w:tr w:rsidR="00C87F32" w:rsidRPr="00C87F32" w:rsidTr="00676A6B">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Otros migrantes detenidos en la frontera</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11,358</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3,174</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b/>
                <w:bCs/>
                <w:sz w:val="27"/>
                <w:szCs w:val="27"/>
                <w:lang w:eastAsia="es-ES"/>
              </w:rPr>
            </w:pPr>
            <w:r w:rsidRPr="00C87F32">
              <w:rPr>
                <w:rFonts w:ascii="Arial" w:eastAsia="Times New Roman" w:hAnsi="Arial" w:cs="Arial"/>
                <w:b/>
                <w:bCs/>
                <w:color w:val="440062"/>
                <w:sz w:val="27"/>
                <w:szCs w:val="27"/>
                <w:lang w:eastAsia="es-ES"/>
              </w:rPr>
              <w:t>2,440</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734</w:t>
            </w:r>
          </w:p>
        </w:tc>
      </w:tr>
      <w:tr w:rsidR="00C87F32" w:rsidRPr="00C87F32" w:rsidTr="00676A6B">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Total</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119,473</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54,857</w:t>
            </w:r>
          </w:p>
        </w:tc>
        <w:tc>
          <w:tcPr>
            <w:tcW w:w="0" w:type="auto"/>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b/>
                <w:bCs/>
                <w:sz w:val="27"/>
                <w:szCs w:val="27"/>
                <w:lang w:eastAsia="es-ES"/>
              </w:rPr>
            </w:pPr>
            <w:r w:rsidRPr="00C87F32">
              <w:rPr>
                <w:rFonts w:ascii="Arial" w:eastAsia="Times New Roman" w:hAnsi="Arial" w:cs="Arial"/>
                <w:b/>
                <w:bCs/>
                <w:color w:val="440062"/>
                <w:sz w:val="27"/>
                <w:szCs w:val="27"/>
                <w:lang w:eastAsia="es-ES"/>
              </w:rPr>
              <w:t>34,434</w:t>
            </w:r>
          </w:p>
        </w:tc>
        <w:tc>
          <w:tcPr>
            <w:tcW w:w="1530" w:type="dxa"/>
            <w:tcBorders>
              <w:top w:val="outset" w:sz="6" w:space="0" w:color="auto"/>
              <w:left w:val="outset" w:sz="6" w:space="0" w:color="auto"/>
              <w:bottom w:val="single" w:sz="6" w:space="0" w:color="E3E3E3"/>
              <w:right w:val="outset" w:sz="6" w:space="0" w:color="auto"/>
            </w:tcBorders>
            <w:shd w:val="clear" w:color="auto" w:fill="auto"/>
            <w:tcMar>
              <w:top w:w="150" w:type="dxa"/>
              <w:left w:w="150" w:type="dxa"/>
              <w:bottom w:w="150" w:type="dxa"/>
              <w:right w:w="210" w:type="dxa"/>
            </w:tcMar>
            <w:vAlign w:val="center"/>
            <w:hideMark/>
          </w:tcPr>
          <w:p w:rsidR="00C87F32" w:rsidRPr="00C87F32" w:rsidRDefault="00C87F32" w:rsidP="00676A6B">
            <w:pPr>
              <w:spacing w:after="0" w:line="285" w:lineRule="atLeast"/>
              <w:jc w:val="right"/>
              <w:rPr>
                <w:rFonts w:ascii="Arial" w:eastAsia="Times New Roman" w:hAnsi="Arial" w:cs="Arial"/>
                <w:sz w:val="27"/>
                <w:szCs w:val="27"/>
                <w:lang w:eastAsia="es-ES"/>
              </w:rPr>
            </w:pPr>
            <w:r w:rsidRPr="00C87F32">
              <w:rPr>
                <w:rFonts w:ascii="Arial" w:eastAsia="Times New Roman" w:hAnsi="Arial" w:cs="Arial"/>
                <w:color w:val="440062"/>
                <w:sz w:val="27"/>
                <w:szCs w:val="27"/>
                <w:lang w:eastAsia="es-ES"/>
              </w:rPr>
              <w:t>20,423</w:t>
            </w:r>
          </w:p>
        </w:tc>
      </w:tr>
    </w:tbl>
    <w:p w:rsidR="00C87F32" w:rsidRPr="00C87F32" w:rsidRDefault="00C87F32" w:rsidP="00C87F32">
      <w:pPr>
        <w:spacing w:after="0" w:line="240" w:lineRule="auto"/>
        <w:outlineLvl w:val="0"/>
        <w:rPr>
          <w:rFonts w:ascii="Helvetica" w:eastAsia="Times New Roman" w:hAnsi="Helvetica" w:cs="Helvetica"/>
          <w:color w:val="000000"/>
          <w:kern w:val="36"/>
          <w:sz w:val="20"/>
          <w:szCs w:val="20"/>
          <w:lang w:eastAsia="es-ES"/>
        </w:rPr>
      </w:pPr>
      <w:r w:rsidRPr="00C87F32">
        <w:rPr>
          <w:rFonts w:ascii="Helvetica" w:eastAsia="Times New Roman" w:hAnsi="Helvetica" w:cs="Helvetica"/>
          <w:color w:val="440062"/>
          <w:kern w:val="36"/>
          <w:sz w:val="20"/>
          <w:szCs w:val="20"/>
          <w:lang w:eastAsia="es-ES"/>
        </w:rPr>
        <w:t>FUENTE: Oficina Ejecutiva de Examen de Casos de Inmigración (EIOR por sus siglas en inglés) | UNIVISION</w:t>
      </w:r>
    </w:p>
    <w:p w:rsidR="00C87F32" w:rsidRDefault="00C87F32" w:rsidP="00C87F32">
      <w:pPr>
        <w:spacing w:after="72" w:line="240" w:lineRule="auto"/>
        <w:jc w:val="both"/>
        <w:rPr>
          <w:rFonts w:ascii="Helvetica" w:eastAsia="Times New Roman" w:hAnsi="Helvetica" w:cs="Helvetica"/>
          <w:b/>
          <w:color w:val="440062"/>
          <w:spacing w:val="-14"/>
          <w:sz w:val="24"/>
          <w:szCs w:val="24"/>
          <w:lang w:eastAsia="es-ES"/>
        </w:rPr>
      </w:pPr>
    </w:p>
    <w:p w:rsidR="00C87F32" w:rsidRPr="00C87F32" w:rsidRDefault="00C87F32" w:rsidP="00C87F32">
      <w:pPr>
        <w:spacing w:after="72" w:line="240" w:lineRule="auto"/>
        <w:jc w:val="both"/>
        <w:rPr>
          <w:rFonts w:ascii="Helvetica" w:eastAsia="Times New Roman" w:hAnsi="Helvetica" w:cs="Helvetica"/>
          <w:b/>
          <w:color w:val="440062"/>
          <w:spacing w:val="-14"/>
          <w:sz w:val="24"/>
          <w:szCs w:val="24"/>
          <w:lang w:eastAsia="es-ES"/>
        </w:rPr>
      </w:pP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Las cifras indican que en 22 meses de registros la EOIR emitió 31,994 órdenes de deportación a menores solos y acompañados (61.8% del total de casos completados). Y que </w:t>
      </w:r>
      <w:proofErr w:type="spellStart"/>
      <w:r w:rsidRPr="00C87F32">
        <w:rPr>
          <w:rFonts w:ascii="Helvetica" w:eastAsia="Times New Roman" w:hAnsi="Helvetica" w:cs="Helvetica"/>
          <w:color w:val="440062"/>
          <w:sz w:val="24"/>
          <w:szCs w:val="24"/>
          <w:lang w:eastAsia="es-ES"/>
        </w:rPr>
        <w:t>de</w:t>
      </w:r>
      <w:proofErr w:type="spellEnd"/>
      <w:r w:rsidRPr="00C87F32">
        <w:rPr>
          <w:rFonts w:ascii="Helvetica" w:eastAsia="Times New Roman" w:hAnsi="Helvetica" w:cs="Helvetica"/>
          <w:color w:val="440062"/>
          <w:sz w:val="24"/>
          <w:szCs w:val="24"/>
          <w:lang w:eastAsia="es-ES"/>
        </w:rPr>
        <w:t xml:space="preserve"> </w:t>
      </w:r>
      <w:proofErr w:type="spellStart"/>
      <w:r w:rsidRPr="00C87F32">
        <w:rPr>
          <w:rFonts w:ascii="Helvetica" w:eastAsia="Times New Roman" w:hAnsi="Helvetica" w:cs="Helvetica"/>
          <w:color w:val="440062"/>
          <w:sz w:val="24"/>
          <w:szCs w:val="24"/>
          <w:lang w:eastAsia="es-ES"/>
        </w:rPr>
        <w:t>se</w:t>
      </w:r>
      <w:proofErr w:type="spellEnd"/>
      <w:r w:rsidRPr="00C87F32">
        <w:rPr>
          <w:rFonts w:ascii="Helvetica" w:eastAsia="Times New Roman" w:hAnsi="Helvetica" w:cs="Helvetica"/>
          <w:color w:val="440062"/>
          <w:sz w:val="24"/>
          <w:szCs w:val="24"/>
          <w:lang w:eastAsia="es-ES"/>
        </w:rPr>
        <w:t xml:space="preserve"> los 51,723 casos finalizados “22,548 tuvieron representación legal” (43.5%).</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Las organizaciones nacionales que defienden los derechos de los inmigrantes advierten que las miles de órdenes de deportación emitidas en los últimos 22 meses son el principal blanco de las redadas de ICE.</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b/>
          <w:bCs/>
          <w:color w:val="440062"/>
          <w:sz w:val="24"/>
          <w:szCs w:val="24"/>
          <w:lang w:eastAsia="es-ES"/>
        </w:rPr>
        <w:lastRenderedPageBreak/>
        <w:t>La ola sigue</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Simultáneamente, la Patrulla Fronteriza dio a conocer esta semana que durante el mes de marzo arrestó a 4,240 niños migrantes indocumentados en la frontera con México, 1,141 detenciones más que las registradas en febrero, un incremento del 28%.</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En lo que va del año fiscal 2016 (1 de octubre de 2015 al 30 de marzo de 2016), el número de detenciones se elevó a 32,952 frente a los 18,889 ejecutados el año </w:t>
      </w:r>
      <w:proofErr w:type="spellStart"/>
      <w:r w:rsidRPr="00C87F32">
        <w:rPr>
          <w:rFonts w:ascii="Helvetica" w:eastAsia="Times New Roman" w:hAnsi="Helvetica" w:cs="Helvetica"/>
          <w:color w:val="440062"/>
          <w:sz w:val="24"/>
          <w:szCs w:val="24"/>
          <w:lang w:eastAsia="es-ES"/>
        </w:rPr>
        <w:t>masado</w:t>
      </w:r>
      <w:proofErr w:type="spellEnd"/>
      <w:r w:rsidRPr="00C87F32">
        <w:rPr>
          <w:rFonts w:ascii="Helvetica" w:eastAsia="Times New Roman" w:hAnsi="Helvetica" w:cs="Helvetica"/>
          <w:color w:val="440062"/>
          <w:sz w:val="24"/>
          <w:szCs w:val="24"/>
          <w:lang w:eastAsia="es-ES"/>
        </w:rPr>
        <w:t xml:space="preserve"> en el mismo período (un incremento del 57.3%).</w:t>
      </w:r>
    </w:p>
    <w:p w:rsidR="00C87F32" w:rsidRPr="00C87F32" w:rsidRDefault="00C87F32" w:rsidP="00C87F32">
      <w:pPr>
        <w:spacing w:after="0" w:line="240" w:lineRule="auto"/>
        <w:jc w:val="both"/>
        <w:rPr>
          <w:rFonts w:ascii="Helvetica" w:eastAsia="Times New Roman" w:hAnsi="Helvetica" w:cs="Helvetica"/>
          <w:color w:val="000000"/>
          <w:sz w:val="24"/>
          <w:szCs w:val="24"/>
          <w:lang w:eastAsia="es-ES"/>
        </w:rPr>
      </w:pPr>
      <w:proofErr w:type="gramStart"/>
      <w:r w:rsidRPr="00C87F32">
        <w:rPr>
          <w:rFonts w:ascii="Helvetica" w:eastAsia="Times New Roman" w:hAnsi="Helvetica" w:cs="Helvetica"/>
          <w:color w:val="440062"/>
          <w:sz w:val="24"/>
          <w:szCs w:val="24"/>
          <w:lang w:eastAsia="es-ES"/>
        </w:rPr>
        <w:t>publicidad</w:t>
      </w:r>
      <w:proofErr w:type="gramEnd"/>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r w:rsidRPr="00C87F32">
        <w:rPr>
          <w:rFonts w:ascii="Helvetica" w:eastAsia="Times New Roman" w:hAnsi="Helvetica" w:cs="Helvetica"/>
          <w:color w:val="440062"/>
          <w:sz w:val="24"/>
          <w:szCs w:val="24"/>
          <w:lang w:eastAsia="es-ES"/>
        </w:rPr>
        <w:t xml:space="preserve">En enero </w:t>
      </w:r>
      <w:proofErr w:type="spellStart"/>
      <w:r w:rsidRPr="00C87F32">
        <w:rPr>
          <w:rFonts w:ascii="Helvetica" w:eastAsia="Times New Roman" w:hAnsi="Helvetica" w:cs="Helvetica"/>
          <w:color w:val="440062"/>
          <w:sz w:val="24"/>
          <w:szCs w:val="24"/>
          <w:lang w:eastAsia="es-ES"/>
        </w:rPr>
        <w:t>Jeh</w:t>
      </w:r>
      <w:proofErr w:type="spellEnd"/>
      <w:r w:rsidRPr="00C87F32">
        <w:rPr>
          <w:rFonts w:ascii="Helvetica" w:eastAsia="Times New Roman" w:hAnsi="Helvetica" w:cs="Helvetica"/>
          <w:color w:val="440062"/>
          <w:sz w:val="24"/>
          <w:szCs w:val="24"/>
          <w:lang w:eastAsia="es-ES"/>
        </w:rPr>
        <w:t xml:space="preserve"> Johnson, jefe de la seguridad nacional de Estados Unidos, dijo ante una comisión del Congreso que el DHS espera la llegada de unos 75,000 migrantes a la frontera.</w:t>
      </w:r>
    </w:p>
    <w:p w:rsidR="00C87F32" w:rsidRDefault="00C87F32" w:rsidP="00C87F32">
      <w:pPr>
        <w:spacing w:line="390" w:lineRule="atLeast"/>
        <w:jc w:val="both"/>
        <w:rPr>
          <w:rFonts w:ascii="Helvetica" w:eastAsia="Times New Roman" w:hAnsi="Helvetica" w:cs="Helvetica"/>
          <w:color w:val="440062"/>
          <w:sz w:val="24"/>
          <w:szCs w:val="24"/>
          <w:lang w:eastAsia="es-ES"/>
        </w:rPr>
      </w:pPr>
      <w:r w:rsidRPr="00C87F32">
        <w:rPr>
          <w:rFonts w:ascii="Helvetica" w:eastAsia="Times New Roman" w:hAnsi="Helvetica" w:cs="Helvetica"/>
          <w:color w:val="440062"/>
          <w:sz w:val="24"/>
          <w:szCs w:val="24"/>
          <w:lang w:eastAsia="es-ES"/>
        </w:rPr>
        <w:t>La mayoría son originarios del denominado Triángulo Norte (Guatemala, El Salvador y Honduras) que huyen de sus países a causa de la violencia y la pobreza.</w:t>
      </w:r>
    </w:p>
    <w:p w:rsidR="00C87F32" w:rsidRDefault="00C87F32" w:rsidP="00C87F32">
      <w:pPr>
        <w:spacing w:line="390" w:lineRule="atLeast"/>
        <w:jc w:val="both"/>
        <w:rPr>
          <w:rFonts w:ascii="Helvetica" w:eastAsia="Times New Roman" w:hAnsi="Helvetica" w:cs="Helvetica"/>
          <w:color w:val="440062"/>
          <w:sz w:val="24"/>
          <w:szCs w:val="24"/>
          <w:lang w:eastAsia="es-ES"/>
        </w:rPr>
      </w:pPr>
    </w:p>
    <w:p w:rsidR="00C87F32" w:rsidRPr="00547451" w:rsidRDefault="00C87F32" w:rsidP="00C87F32">
      <w:pPr>
        <w:rPr>
          <w:color w:val="000000" w:themeColor="text1"/>
        </w:rPr>
      </w:pPr>
      <w:r>
        <w:rPr>
          <w:color w:val="000000" w:themeColor="text1"/>
        </w:rPr>
        <w:t xml:space="preserve">Fuente: </w:t>
      </w:r>
      <w:r w:rsidRPr="00547451">
        <w:rPr>
          <w:color w:val="000000" w:themeColor="text1"/>
        </w:rPr>
        <w:t>http://www.univision.com/</w:t>
      </w:r>
    </w:p>
    <w:p w:rsidR="00C87F32" w:rsidRPr="00C87F32" w:rsidRDefault="00C87F32" w:rsidP="00C87F32">
      <w:pPr>
        <w:spacing w:line="390" w:lineRule="atLeast"/>
        <w:jc w:val="both"/>
        <w:rPr>
          <w:rFonts w:ascii="Helvetica" w:eastAsia="Times New Roman" w:hAnsi="Helvetica" w:cs="Helvetica"/>
          <w:color w:val="000000"/>
          <w:sz w:val="24"/>
          <w:szCs w:val="24"/>
          <w:lang w:eastAsia="es-ES"/>
        </w:rPr>
      </w:pPr>
    </w:p>
    <w:sectPr w:rsidR="00C87F32" w:rsidRPr="00C87F32"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60EB4"/>
    <w:multiLevelType w:val="multilevel"/>
    <w:tmpl w:val="BCC0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F32"/>
    <w:rsid w:val="00466A9C"/>
    <w:rsid w:val="00590F50"/>
    <w:rsid w:val="00C87F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87F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7F3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87F32"/>
    <w:rPr>
      <w:color w:val="0000FF"/>
      <w:u w:val="single"/>
    </w:rPr>
  </w:style>
</w:styles>
</file>

<file path=word/webSettings.xml><?xml version="1.0" encoding="utf-8"?>
<w:webSettings xmlns:r="http://schemas.openxmlformats.org/officeDocument/2006/relationships" xmlns:w="http://schemas.openxmlformats.org/wordprocessingml/2006/main">
  <w:divs>
    <w:div w:id="414204653">
      <w:bodyDiv w:val="1"/>
      <w:marLeft w:val="0"/>
      <w:marRight w:val="0"/>
      <w:marTop w:val="0"/>
      <w:marBottom w:val="0"/>
      <w:divBdr>
        <w:top w:val="none" w:sz="0" w:space="0" w:color="auto"/>
        <w:left w:val="none" w:sz="0" w:space="0" w:color="auto"/>
        <w:bottom w:val="none" w:sz="0" w:space="0" w:color="auto"/>
        <w:right w:val="none" w:sz="0" w:space="0" w:color="auto"/>
      </w:divBdr>
      <w:divsChild>
        <w:div w:id="520123734">
          <w:marLeft w:val="0"/>
          <w:marRight w:val="0"/>
          <w:marTop w:val="0"/>
          <w:marBottom w:val="72"/>
          <w:divBdr>
            <w:top w:val="none" w:sz="0" w:space="0" w:color="auto"/>
            <w:left w:val="none" w:sz="0" w:space="0" w:color="auto"/>
            <w:bottom w:val="none" w:sz="0" w:space="0" w:color="auto"/>
            <w:right w:val="none" w:sz="0" w:space="0" w:color="auto"/>
          </w:divBdr>
        </w:div>
        <w:div w:id="166136702">
          <w:marLeft w:val="0"/>
          <w:marRight w:val="0"/>
          <w:marTop w:val="0"/>
          <w:marBottom w:val="264"/>
          <w:divBdr>
            <w:top w:val="none" w:sz="0" w:space="0" w:color="auto"/>
            <w:left w:val="none" w:sz="0" w:space="0" w:color="auto"/>
            <w:bottom w:val="none" w:sz="0" w:space="0" w:color="auto"/>
            <w:right w:val="none" w:sz="0" w:space="0" w:color="auto"/>
          </w:divBdr>
        </w:div>
        <w:div w:id="1563518429">
          <w:marLeft w:val="0"/>
          <w:marRight w:val="0"/>
          <w:marTop w:val="225"/>
          <w:marBottom w:val="0"/>
          <w:divBdr>
            <w:top w:val="none" w:sz="0" w:space="0" w:color="auto"/>
            <w:left w:val="none" w:sz="0" w:space="0" w:color="auto"/>
            <w:bottom w:val="none" w:sz="0" w:space="0" w:color="auto"/>
            <w:right w:val="none" w:sz="0" w:space="0" w:color="auto"/>
          </w:divBdr>
        </w:div>
        <w:div w:id="1994211214">
          <w:marLeft w:val="0"/>
          <w:marRight w:val="0"/>
          <w:marTop w:val="0"/>
          <w:marBottom w:val="0"/>
          <w:divBdr>
            <w:top w:val="none" w:sz="0" w:space="0" w:color="auto"/>
            <w:left w:val="none" w:sz="0" w:space="0" w:color="auto"/>
            <w:bottom w:val="none" w:sz="0" w:space="0" w:color="auto"/>
            <w:right w:val="none" w:sz="0" w:space="0" w:color="auto"/>
          </w:divBdr>
          <w:divsChild>
            <w:div w:id="1850218701">
              <w:marLeft w:val="0"/>
              <w:marRight w:val="0"/>
              <w:marTop w:val="0"/>
              <w:marBottom w:val="0"/>
              <w:divBdr>
                <w:top w:val="none" w:sz="0" w:space="0" w:color="auto"/>
                <w:left w:val="none" w:sz="0" w:space="0" w:color="auto"/>
                <w:bottom w:val="none" w:sz="0" w:space="0" w:color="auto"/>
                <w:right w:val="none" w:sz="0" w:space="0" w:color="auto"/>
              </w:divBdr>
            </w:div>
          </w:divsChild>
        </w:div>
        <w:div w:id="1227910534">
          <w:marLeft w:val="0"/>
          <w:marRight w:val="0"/>
          <w:marTop w:val="0"/>
          <w:marBottom w:val="0"/>
          <w:divBdr>
            <w:top w:val="none" w:sz="0" w:space="0" w:color="auto"/>
            <w:left w:val="none" w:sz="0" w:space="0" w:color="auto"/>
            <w:bottom w:val="none" w:sz="0" w:space="0" w:color="auto"/>
            <w:right w:val="none" w:sz="0" w:space="0" w:color="auto"/>
          </w:divBdr>
        </w:div>
        <w:div w:id="1392119672">
          <w:marLeft w:val="0"/>
          <w:marRight w:val="0"/>
          <w:marTop w:val="0"/>
          <w:marBottom w:val="0"/>
          <w:divBdr>
            <w:top w:val="none" w:sz="0" w:space="0" w:color="auto"/>
            <w:left w:val="none" w:sz="0" w:space="0" w:color="auto"/>
            <w:bottom w:val="none" w:sz="0" w:space="0" w:color="auto"/>
            <w:right w:val="none" w:sz="0" w:space="0" w:color="auto"/>
          </w:divBdr>
          <w:divsChild>
            <w:div w:id="1491631946">
              <w:marLeft w:val="0"/>
              <w:marRight w:val="0"/>
              <w:marTop w:val="0"/>
              <w:marBottom w:val="225"/>
              <w:divBdr>
                <w:top w:val="none" w:sz="0" w:space="0" w:color="auto"/>
                <w:left w:val="none" w:sz="0" w:space="0" w:color="auto"/>
                <w:bottom w:val="none" w:sz="0" w:space="0" w:color="auto"/>
                <w:right w:val="none" w:sz="0" w:space="0" w:color="auto"/>
              </w:divBdr>
            </w:div>
            <w:div w:id="1565721926">
              <w:marLeft w:val="0"/>
              <w:marRight w:val="0"/>
              <w:marTop w:val="225"/>
              <w:marBottom w:val="225"/>
              <w:divBdr>
                <w:top w:val="none" w:sz="0" w:space="0" w:color="auto"/>
                <w:left w:val="none" w:sz="0" w:space="0" w:color="auto"/>
                <w:bottom w:val="none" w:sz="0" w:space="0" w:color="auto"/>
                <w:right w:val="none" w:sz="0" w:space="0" w:color="auto"/>
              </w:divBdr>
            </w:div>
            <w:div w:id="1668090727">
              <w:marLeft w:val="0"/>
              <w:marRight w:val="0"/>
              <w:marTop w:val="225"/>
              <w:marBottom w:val="225"/>
              <w:divBdr>
                <w:top w:val="none" w:sz="0" w:space="0" w:color="auto"/>
                <w:left w:val="none" w:sz="0" w:space="0" w:color="auto"/>
                <w:bottom w:val="none" w:sz="0" w:space="0" w:color="auto"/>
                <w:right w:val="none" w:sz="0" w:space="0" w:color="auto"/>
              </w:divBdr>
            </w:div>
            <w:div w:id="108667676">
              <w:marLeft w:val="0"/>
              <w:marRight w:val="0"/>
              <w:marTop w:val="225"/>
              <w:marBottom w:val="225"/>
              <w:divBdr>
                <w:top w:val="none" w:sz="0" w:space="0" w:color="auto"/>
                <w:left w:val="none" w:sz="0" w:space="0" w:color="auto"/>
                <w:bottom w:val="none" w:sz="0" w:space="0" w:color="auto"/>
                <w:right w:val="none" w:sz="0" w:space="0" w:color="auto"/>
              </w:divBdr>
            </w:div>
            <w:div w:id="1656226078">
              <w:marLeft w:val="0"/>
              <w:marRight w:val="0"/>
              <w:marTop w:val="0"/>
              <w:marBottom w:val="0"/>
              <w:divBdr>
                <w:top w:val="none" w:sz="0" w:space="0" w:color="auto"/>
                <w:left w:val="none" w:sz="0" w:space="0" w:color="auto"/>
                <w:bottom w:val="single" w:sz="12" w:space="8" w:color="EAEAEA"/>
                <w:right w:val="none" w:sz="0" w:space="0" w:color="auto"/>
              </w:divBdr>
              <w:divsChild>
                <w:div w:id="1769234050">
                  <w:marLeft w:val="0"/>
                  <w:marRight w:val="0"/>
                  <w:marTop w:val="0"/>
                  <w:marBottom w:val="0"/>
                  <w:divBdr>
                    <w:top w:val="none" w:sz="0" w:space="0" w:color="auto"/>
                    <w:left w:val="none" w:sz="0" w:space="0" w:color="auto"/>
                    <w:bottom w:val="none" w:sz="0" w:space="0" w:color="auto"/>
                    <w:right w:val="none" w:sz="0" w:space="0" w:color="auto"/>
                  </w:divBdr>
                </w:div>
                <w:div w:id="775253256">
                  <w:marLeft w:val="0"/>
                  <w:marRight w:val="0"/>
                  <w:marTop w:val="0"/>
                  <w:marBottom w:val="0"/>
                  <w:divBdr>
                    <w:top w:val="none" w:sz="0" w:space="0" w:color="auto"/>
                    <w:left w:val="none" w:sz="0" w:space="0" w:color="auto"/>
                    <w:bottom w:val="none" w:sz="0" w:space="0" w:color="auto"/>
                    <w:right w:val="none" w:sz="0" w:space="0" w:color="auto"/>
                  </w:divBdr>
                  <w:divsChild>
                    <w:div w:id="987515457">
                      <w:marLeft w:val="0"/>
                      <w:marRight w:val="0"/>
                      <w:marTop w:val="0"/>
                      <w:marBottom w:val="0"/>
                      <w:divBdr>
                        <w:top w:val="none" w:sz="0" w:space="0" w:color="auto"/>
                        <w:left w:val="none" w:sz="0" w:space="0" w:color="auto"/>
                        <w:bottom w:val="none" w:sz="0" w:space="0" w:color="auto"/>
                        <w:right w:val="none" w:sz="0" w:space="0" w:color="auto"/>
                      </w:divBdr>
                      <w:divsChild>
                        <w:div w:id="11850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6788">
              <w:marLeft w:val="0"/>
              <w:marRight w:val="0"/>
              <w:marTop w:val="225"/>
              <w:marBottom w:val="225"/>
              <w:divBdr>
                <w:top w:val="none" w:sz="0" w:space="0" w:color="auto"/>
                <w:left w:val="none" w:sz="0" w:space="0" w:color="auto"/>
                <w:bottom w:val="none" w:sz="0" w:space="0" w:color="auto"/>
                <w:right w:val="none" w:sz="0" w:space="0" w:color="auto"/>
              </w:divBdr>
            </w:div>
            <w:div w:id="687415228">
              <w:marLeft w:val="0"/>
              <w:marRight w:val="0"/>
              <w:marTop w:val="225"/>
              <w:marBottom w:val="225"/>
              <w:divBdr>
                <w:top w:val="none" w:sz="0" w:space="0" w:color="auto"/>
                <w:left w:val="none" w:sz="0" w:space="0" w:color="auto"/>
                <w:bottom w:val="none" w:sz="0" w:space="0" w:color="auto"/>
                <w:right w:val="none" w:sz="0" w:space="0" w:color="auto"/>
              </w:divBdr>
            </w:div>
            <w:div w:id="2027948458">
              <w:marLeft w:val="0"/>
              <w:marRight w:val="0"/>
              <w:marTop w:val="225"/>
              <w:marBottom w:val="225"/>
              <w:divBdr>
                <w:top w:val="none" w:sz="0" w:space="0" w:color="auto"/>
                <w:left w:val="none" w:sz="0" w:space="0" w:color="auto"/>
                <w:bottom w:val="none" w:sz="0" w:space="0" w:color="auto"/>
                <w:right w:val="none" w:sz="0" w:space="0" w:color="auto"/>
              </w:divBdr>
            </w:div>
            <w:div w:id="943534915">
              <w:marLeft w:val="0"/>
              <w:marRight w:val="0"/>
              <w:marTop w:val="225"/>
              <w:marBottom w:val="225"/>
              <w:divBdr>
                <w:top w:val="none" w:sz="0" w:space="0" w:color="auto"/>
                <w:left w:val="none" w:sz="0" w:space="0" w:color="auto"/>
                <w:bottom w:val="none" w:sz="0" w:space="0" w:color="auto"/>
                <w:right w:val="none" w:sz="0" w:space="0" w:color="auto"/>
              </w:divBdr>
            </w:div>
            <w:div w:id="458109623">
              <w:marLeft w:val="0"/>
              <w:marRight w:val="0"/>
              <w:marTop w:val="225"/>
              <w:marBottom w:val="225"/>
              <w:divBdr>
                <w:top w:val="none" w:sz="0" w:space="0" w:color="auto"/>
                <w:left w:val="none" w:sz="0" w:space="0" w:color="auto"/>
                <w:bottom w:val="none" w:sz="0" w:space="0" w:color="auto"/>
                <w:right w:val="none" w:sz="0" w:space="0" w:color="auto"/>
              </w:divBdr>
            </w:div>
            <w:div w:id="684136246">
              <w:marLeft w:val="0"/>
              <w:marRight w:val="0"/>
              <w:marTop w:val="225"/>
              <w:marBottom w:val="225"/>
              <w:divBdr>
                <w:top w:val="none" w:sz="0" w:space="0" w:color="auto"/>
                <w:left w:val="none" w:sz="0" w:space="0" w:color="auto"/>
                <w:bottom w:val="none" w:sz="0" w:space="0" w:color="auto"/>
                <w:right w:val="none" w:sz="0" w:space="0" w:color="auto"/>
              </w:divBdr>
            </w:div>
            <w:div w:id="2083747705">
              <w:marLeft w:val="0"/>
              <w:marRight w:val="0"/>
              <w:marTop w:val="225"/>
              <w:marBottom w:val="225"/>
              <w:divBdr>
                <w:top w:val="none" w:sz="0" w:space="0" w:color="auto"/>
                <w:left w:val="none" w:sz="0" w:space="0" w:color="auto"/>
                <w:bottom w:val="none" w:sz="0" w:space="0" w:color="auto"/>
                <w:right w:val="none" w:sz="0" w:space="0" w:color="auto"/>
              </w:divBdr>
            </w:div>
            <w:div w:id="212813224">
              <w:marLeft w:val="0"/>
              <w:marRight w:val="0"/>
              <w:marTop w:val="225"/>
              <w:marBottom w:val="225"/>
              <w:divBdr>
                <w:top w:val="none" w:sz="0" w:space="0" w:color="auto"/>
                <w:left w:val="none" w:sz="0" w:space="0" w:color="auto"/>
                <w:bottom w:val="none" w:sz="0" w:space="0" w:color="auto"/>
                <w:right w:val="none" w:sz="0" w:space="0" w:color="auto"/>
              </w:divBdr>
            </w:div>
            <w:div w:id="221449471">
              <w:marLeft w:val="0"/>
              <w:marRight w:val="0"/>
              <w:marTop w:val="0"/>
              <w:marBottom w:val="0"/>
              <w:divBdr>
                <w:top w:val="none" w:sz="0" w:space="0" w:color="auto"/>
                <w:left w:val="none" w:sz="0" w:space="0" w:color="auto"/>
                <w:bottom w:val="single" w:sz="12" w:space="8" w:color="EAEAEA"/>
                <w:right w:val="none" w:sz="0" w:space="0" w:color="auto"/>
              </w:divBdr>
              <w:divsChild>
                <w:div w:id="1477606214">
                  <w:marLeft w:val="0"/>
                  <w:marRight w:val="0"/>
                  <w:marTop w:val="0"/>
                  <w:marBottom w:val="0"/>
                  <w:divBdr>
                    <w:top w:val="none" w:sz="0" w:space="0" w:color="auto"/>
                    <w:left w:val="none" w:sz="0" w:space="0" w:color="auto"/>
                    <w:bottom w:val="none" w:sz="0" w:space="0" w:color="auto"/>
                    <w:right w:val="none" w:sz="0" w:space="0" w:color="auto"/>
                  </w:divBdr>
                </w:div>
                <w:div w:id="722213597">
                  <w:marLeft w:val="0"/>
                  <w:marRight w:val="0"/>
                  <w:marTop w:val="0"/>
                  <w:marBottom w:val="0"/>
                  <w:divBdr>
                    <w:top w:val="none" w:sz="0" w:space="0" w:color="auto"/>
                    <w:left w:val="none" w:sz="0" w:space="0" w:color="auto"/>
                    <w:bottom w:val="none" w:sz="0" w:space="0" w:color="auto"/>
                    <w:right w:val="none" w:sz="0" w:space="0" w:color="auto"/>
                  </w:divBdr>
                  <w:divsChild>
                    <w:div w:id="1880898959">
                      <w:marLeft w:val="0"/>
                      <w:marRight w:val="0"/>
                      <w:marTop w:val="0"/>
                      <w:marBottom w:val="0"/>
                      <w:divBdr>
                        <w:top w:val="none" w:sz="0" w:space="0" w:color="auto"/>
                        <w:left w:val="none" w:sz="0" w:space="0" w:color="auto"/>
                        <w:bottom w:val="none" w:sz="0" w:space="0" w:color="auto"/>
                        <w:right w:val="none" w:sz="0" w:space="0" w:color="auto"/>
                      </w:divBdr>
                      <w:divsChild>
                        <w:div w:id="14279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217">
              <w:marLeft w:val="0"/>
              <w:marRight w:val="0"/>
              <w:marTop w:val="225"/>
              <w:marBottom w:val="225"/>
              <w:divBdr>
                <w:top w:val="none" w:sz="0" w:space="0" w:color="auto"/>
                <w:left w:val="none" w:sz="0" w:space="0" w:color="auto"/>
                <w:bottom w:val="none" w:sz="0" w:space="0" w:color="auto"/>
                <w:right w:val="none" w:sz="0" w:space="0" w:color="auto"/>
              </w:divBdr>
            </w:div>
            <w:div w:id="1309558749">
              <w:marLeft w:val="0"/>
              <w:marRight w:val="0"/>
              <w:marTop w:val="225"/>
              <w:marBottom w:val="225"/>
              <w:divBdr>
                <w:top w:val="none" w:sz="0" w:space="0" w:color="auto"/>
                <w:left w:val="none" w:sz="0" w:space="0" w:color="auto"/>
                <w:bottom w:val="none" w:sz="0" w:space="0" w:color="auto"/>
                <w:right w:val="none" w:sz="0" w:space="0" w:color="auto"/>
              </w:divBdr>
            </w:div>
            <w:div w:id="19016552">
              <w:marLeft w:val="0"/>
              <w:marRight w:val="0"/>
              <w:marTop w:val="225"/>
              <w:marBottom w:val="225"/>
              <w:divBdr>
                <w:top w:val="none" w:sz="0" w:space="0" w:color="auto"/>
                <w:left w:val="none" w:sz="0" w:space="0" w:color="auto"/>
                <w:bottom w:val="none" w:sz="0" w:space="0" w:color="auto"/>
                <w:right w:val="none" w:sz="0" w:space="0" w:color="auto"/>
              </w:divBdr>
            </w:div>
            <w:div w:id="1316253629">
              <w:marLeft w:val="0"/>
              <w:marRight w:val="0"/>
              <w:marTop w:val="225"/>
              <w:marBottom w:val="225"/>
              <w:divBdr>
                <w:top w:val="none" w:sz="0" w:space="0" w:color="auto"/>
                <w:left w:val="none" w:sz="0" w:space="0" w:color="auto"/>
                <w:bottom w:val="none" w:sz="0" w:space="0" w:color="auto"/>
                <w:right w:val="none" w:sz="0" w:space="0" w:color="auto"/>
              </w:divBdr>
            </w:div>
            <w:div w:id="1503811508">
              <w:marLeft w:val="0"/>
              <w:marRight w:val="0"/>
              <w:marTop w:val="225"/>
              <w:marBottom w:val="225"/>
              <w:divBdr>
                <w:top w:val="none" w:sz="0" w:space="0" w:color="auto"/>
                <w:left w:val="none" w:sz="0" w:space="0" w:color="auto"/>
                <w:bottom w:val="none" w:sz="0" w:space="0" w:color="auto"/>
                <w:right w:val="none" w:sz="0" w:space="0" w:color="auto"/>
              </w:divBdr>
            </w:div>
            <w:div w:id="1221938342">
              <w:marLeft w:val="0"/>
              <w:marRight w:val="0"/>
              <w:marTop w:val="225"/>
              <w:marBottom w:val="225"/>
              <w:divBdr>
                <w:top w:val="none" w:sz="0" w:space="0" w:color="auto"/>
                <w:left w:val="none" w:sz="0" w:space="0" w:color="auto"/>
                <w:bottom w:val="none" w:sz="0" w:space="0" w:color="auto"/>
                <w:right w:val="none" w:sz="0" w:space="0" w:color="auto"/>
              </w:divBdr>
            </w:div>
            <w:div w:id="738357691">
              <w:marLeft w:val="0"/>
              <w:marRight w:val="0"/>
              <w:marTop w:val="0"/>
              <w:marBottom w:val="0"/>
              <w:divBdr>
                <w:top w:val="none" w:sz="0" w:space="0" w:color="auto"/>
                <w:left w:val="none" w:sz="0" w:space="0" w:color="auto"/>
                <w:bottom w:val="single" w:sz="12" w:space="8" w:color="EAEAEA"/>
                <w:right w:val="none" w:sz="0" w:space="0" w:color="auto"/>
              </w:divBdr>
              <w:divsChild>
                <w:div w:id="654842333">
                  <w:marLeft w:val="0"/>
                  <w:marRight w:val="0"/>
                  <w:marTop w:val="0"/>
                  <w:marBottom w:val="0"/>
                  <w:divBdr>
                    <w:top w:val="none" w:sz="0" w:space="0" w:color="auto"/>
                    <w:left w:val="none" w:sz="0" w:space="0" w:color="auto"/>
                    <w:bottom w:val="none" w:sz="0" w:space="0" w:color="auto"/>
                    <w:right w:val="none" w:sz="0" w:space="0" w:color="auto"/>
                  </w:divBdr>
                </w:div>
                <w:div w:id="92745539">
                  <w:marLeft w:val="0"/>
                  <w:marRight w:val="0"/>
                  <w:marTop w:val="0"/>
                  <w:marBottom w:val="0"/>
                  <w:divBdr>
                    <w:top w:val="none" w:sz="0" w:space="0" w:color="auto"/>
                    <w:left w:val="none" w:sz="0" w:space="0" w:color="auto"/>
                    <w:bottom w:val="none" w:sz="0" w:space="0" w:color="auto"/>
                    <w:right w:val="none" w:sz="0" w:space="0" w:color="auto"/>
                  </w:divBdr>
                  <w:divsChild>
                    <w:div w:id="317073124">
                      <w:marLeft w:val="0"/>
                      <w:marRight w:val="0"/>
                      <w:marTop w:val="0"/>
                      <w:marBottom w:val="0"/>
                      <w:divBdr>
                        <w:top w:val="none" w:sz="0" w:space="0" w:color="auto"/>
                        <w:left w:val="none" w:sz="0" w:space="0" w:color="auto"/>
                        <w:bottom w:val="none" w:sz="0" w:space="0" w:color="auto"/>
                        <w:right w:val="none" w:sz="0" w:space="0" w:color="auto"/>
                      </w:divBdr>
                      <w:divsChild>
                        <w:div w:id="1049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0683">
              <w:marLeft w:val="0"/>
              <w:marRight w:val="0"/>
              <w:marTop w:val="225"/>
              <w:marBottom w:val="225"/>
              <w:divBdr>
                <w:top w:val="none" w:sz="0" w:space="0" w:color="auto"/>
                <w:left w:val="none" w:sz="0" w:space="0" w:color="auto"/>
                <w:bottom w:val="none" w:sz="0" w:space="0" w:color="auto"/>
                <w:right w:val="none" w:sz="0" w:space="0" w:color="auto"/>
              </w:divBdr>
            </w:div>
            <w:div w:id="1273707994">
              <w:marLeft w:val="0"/>
              <w:marRight w:val="0"/>
              <w:marTop w:val="225"/>
              <w:marBottom w:val="225"/>
              <w:divBdr>
                <w:top w:val="none" w:sz="0" w:space="0" w:color="auto"/>
                <w:left w:val="none" w:sz="0" w:space="0" w:color="auto"/>
                <w:bottom w:val="none" w:sz="0" w:space="0" w:color="auto"/>
                <w:right w:val="none" w:sz="0" w:space="0" w:color="auto"/>
              </w:divBdr>
            </w:div>
            <w:div w:id="2090156012">
              <w:marLeft w:val="0"/>
              <w:marRight w:val="0"/>
              <w:marTop w:val="225"/>
              <w:marBottom w:val="225"/>
              <w:divBdr>
                <w:top w:val="none" w:sz="0" w:space="0" w:color="auto"/>
                <w:left w:val="none" w:sz="0" w:space="0" w:color="auto"/>
                <w:bottom w:val="none" w:sz="0" w:space="0" w:color="auto"/>
                <w:right w:val="none" w:sz="0" w:space="0" w:color="auto"/>
              </w:divBdr>
            </w:div>
            <w:div w:id="1441485453">
              <w:marLeft w:val="0"/>
              <w:marRight w:val="0"/>
              <w:marTop w:val="225"/>
              <w:marBottom w:val="225"/>
              <w:divBdr>
                <w:top w:val="none" w:sz="0" w:space="0" w:color="auto"/>
                <w:left w:val="none" w:sz="0" w:space="0" w:color="auto"/>
                <w:bottom w:val="none" w:sz="0" w:space="0" w:color="auto"/>
                <w:right w:val="none" w:sz="0" w:space="0" w:color="auto"/>
              </w:divBdr>
            </w:div>
            <w:div w:id="206458399">
              <w:marLeft w:val="0"/>
              <w:marRight w:val="0"/>
              <w:marTop w:val="225"/>
              <w:marBottom w:val="225"/>
              <w:divBdr>
                <w:top w:val="none" w:sz="0" w:space="0" w:color="auto"/>
                <w:left w:val="none" w:sz="0" w:space="0" w:color="auto"/>
                <w:bottom w:val="none" w:sz="0" w:space="0" w:color="auto"/>
                <w:right w:val="none" w:sz="0" w:space="0" w:color="auto"/>
              </w:divBdr>
            </w:div>
            <w:div w:id="492306976">
              <w:marLeft w:val="0"/>
              <w:marRight w:val="0"/>
              <w:marTop w:val="225"/>
              <w:marBottom w:val="225"/>
              <w:divBdr>
                <w:top w:val="none" w:sz="0" w:space="0" w:color="auto"/>
                <w:left w:val="none" w:sz="0" w:space="0" w:color="auto"/>
                <w:bottom w:val="none" w:sz="0" w:space="0" w:color="auto"/>
                <w:right w:val="none" w:sz="0" w:space="0" w:color="auto"/>
              </w:divBdr>
            </w:div>
            <w:div w:id="385376252">
              <w:marLeft w:val="0"/>
              <w:marRight w:val="0"/>
              <w:marTop w:val="225"/>
              <w:marBottom w:val="225"/>
              <w:divBdr>
                <w:top w:val="none" w:sz="0" w:space="0" w:color="auto"/>
                <w:left w:val="none" w:sz="0" w:space="0" w:color="auto"/>
                <w:bottom w:val="none" w:sz="0" w:space="0" w:color="auto"/>
                <w:right w:val="none" w:sz="0" w:space="0" w:color="auto"/>
              </w:divBdr>
            </w:div>
            <w:div w:id="55132578">
              <w:marLeft w:val="0"/>
              <w:marRight w:val="0"/>
              <w:marTop w:val="0"/>
              <w:marBottom w:val="0"/>
              <w:divBdr>
                <w:top w:val="dotted" w:sz="6" w:space="5" w:color="D5D5D7"/>
                <w:left w:val="none" w:sz="0" w:space="0" w:color="auto"/>
                <w:bottom w:val="dotted" w:sz="6" w:space="8" w:color="D5D5D7"/>
                <w:right w:val="none" w:sz="0" w:space="0" w:color="auto"/>
              </w:divBdr>
              <w:divsChild>
                <w:div w:id="1742681353">
                  <w:marLeft w:val="0"/>
                  <w:marRight w:val="0"/>
                  <w:marTop w:val="0"/>
                  <w:marBottom w:val="72"/>
                  <w:divBdr>
                    <w:top w:val="none" w:sz="0" w:space="0" w:color="auto"/>
                    <w:left w:val="none" w:sz="0" w:space="0" w:color="auto"/>
                    <w:bottom w:val="none" w:sz="0" w:space="0" w:color="auto"/>
                    <w:right w:val="none" w:sz="0" w:space="0" w:color="auto"/>
                  </w:divBdr>
                </w:div>
                <w:div w:id="721565687">
                  <w:marLeft w:val="0"/>
                  <w:marRight w:val="0"/>
                  <w:marTop w:val="0"/>
                  <w:marBottom w:val="264"/>
                  <w:divBdr>
                    <w:top w:val="none" w:sz="0" w:space="0" w:color="auto"/>
                    <w:left w:val="none" w:sz="0" w:space="0" w:color="auto"/>
                    <w:bottom w:val="none" w:sz="0" w:space="0" w:color="auto"/>
                    <w:right w:val="none" w:sz="0" w:space="0" w:color="auto"/>
                  </w:divBdr>
                </w:div>
                <w:div w:id="369770724">
                  <w:marLeft w:val="0"/>
                  <w:marRight w:val="0"/>
                  <w:marTop w:val="225"/>
                  <w:marBottom w:val="0"/>
                  <w:divBdr>
                    <w:top w:val="none" w:sz="0" w:space="0" w:color="auto"/>
                    <w:left w:val="none" w:sz="0" w:space="0" w:color="auto"/>
                    <w:bottom w:val="none" w:sz="0" w:space="0" w:color="auto"/>
                    <w:right w:val="none" w:sz="0" w:space="0" w:color="auto"/>
                  </w:divBdr>
                </w:div>
              </w:divsChild>
            </w:div>
            <w:div w:id="1904563135">
              <w:marLeft w:val="0"/>
              <w:marRight w:val="0"/>
              <w:marTop w:val="225"/>
              <w:marBottom w:val="225"/>
              <w:divBdr>
                <w:top w:val="none" w:sz="0" w:space="0" w:color="auto"/>
                <w:left w:val="none" w:sz="0" w:space="0" w:color="auto"/>
                <w:bottom w:val="none" w:sz="0" w:space="0" w:color="auto"/>
                <w:right w:val="none" w:sz="0" w:space="0" w:color="auto"/>
              </w:divBdr>
            </w:div>
            <w:div w:id="1844587561">
              <w:marLeft w:val="0"/>
              <w:marRight w:val="0"/>
              <w:marTop w:val="225"/>
              <w:marBottom w:val="225"/>
              <w:divBdr>
                <w:top w:val="none" w:sz="0" w:space="0" w:color="auto"/>
                <w:left w:val="none" w:sz="0" w:space="0" w:color="auto"/>
                <w:bottom w:val="none" w:sz="0" w:space="0" w:color="auto"/>
                <w:right w:val="none" w:sz="0" w:space="0" w:color="auto"/>
              </w:divBdr>
            </w:div>
            <w:div w:id="766004352">
              <w:marLeft w:val="0"/>
              <w:marRight w:val="0"/>
              <w:marTop w:val="225"/>
              <w:marBottom w:val="225"/>
              <w:divBdr>
                <w:top w:val="none" w:sz="0" w:space="0" w:color="auto"/>
                <w:left w:val="none" w:sz="0" w:space="0" w:color="auto"/>
                <w:bottom w:val="none" w:sz="0" w:space="0" w:color="auto"/>
                <w:right w:val="none" w:sz="0" w:space="0" w:color="auto"/>
              </w:divBdr>
            </w:div>
            <w:div w:id="1607350442">
              <w:marLeft w:val="0"/>
              <w:marRight w:val="0"/>
              <w:marTop w:val="225"/>
              <w:marBottom w:val="225"/>
              <w:divBdr>
                <w:top w:val="none" w:sz="0" w:space="0" w:color="auto"/>
                <w:left w:val="none" w:sz="0" w:space="0" w:color="auto"/>
                <w:bottom w:val="none" w:sz="0" w:space="0" w:color="auto"/>
                <w:right w:val="none" w:sz="0" w:space="0" w:color="auto"/>
              </w:divBdr>
            </w:div>
            <w:div w:id="1897857673">
              <w:marLeft w:val="0"/>
              <w:marRight w:val="0"/>
              <w:marTop w:val="225"/>
              <w:marBottom w:val="225"/>
              <w:divBdr>
                <w:top w:val="none" w:sz="0" w:space="0" w:color="auto"/>
                <w:left w:val="none" w:sz="0" w:space="0" w:color="auto"/>
                <w:bottom w:val="none" w:sz="0" w:space="0" w:color="auto"/>
                <w:right w:val="none" w:sz="0" w:space="0" w:color="auto"/>
              </w:divBdr>
            </w:div>
            <w:div w:id="1376734273">
              <w:marLeft w:val="0"/>
              <w:marRight w:val="0"/>
              <w:marTop w:val="225"/>
              <w:marBottom w:val="225"/>
              <w:divBdr>
                <w:top w:val="none" w:sz="0" w:space="0" w:color="auto"/>
                <w:left w:val="none" w:sz="0" w:space="0" w:color="auto"/>
                <w:bottom w:val="none" w:sz="0" w:space="0" w:color="auto"/>
                <w:right w:val="none" w:sz="0" w:space="0" w:color="auto"/>
              </w:divBdr>
            </w:div>
            <w:div w:id="93866684">
              <w:marLeft w:val="0"/>
              <w:marRight w:val="0"/>
              <w:marTop w:val="225"/>
              <w:marBottom w:val="225"/>
              <w:divBdr>
                <w:top w:val="none" w:sz="0" w:space="0" w:color="auto"/>
                <w:left w:val="none" w:sz="0" w:space="0" w:color="auto"/>
                <w:bottom w:val="none" w:sz="0" w:space="0" w:color="auto"/>
                <w:right w:val="none" w:sz="0" w:space="0" w:color="auto"/>
              </w:divBdr>
            </w:div>
            <w:div w:id="673413452">
              <w:marLeft w:val="0"/>
              <w:marRight w:val="0"/>
              <w:marTop w:val="225"/>
              <w:marBottom w:val="225"/>
              <w:divBdr>
                <w:top w:val="none" w:sz="0" w:space="0" w:color="auto"/>
                <w:left w:val="none" w:sz="0" w:space="0" w:color="auto"/>
                <w:bottom w:val="none" w:sz="0" w:space="0" w:color="auto"/>
                <w:right w:val="none" w:sz="0" w:space="0" w:color="auto"/>
              </w:divBdr>
            </w:div>
          </w:divsChild>
        </w:div>
        <w:div w:id="1944453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1151</Words>
  <Characters>6334</Characters>
  <Application>Microsoft Office Word</Application>
  <DocSecurity>0</DocSecurity>
  <Lines>52</Lines>
  <Paragraphs>14</Paragraphs>
  <ScaleCrop>false</ScaleCrop>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2016-05-27T12:01:00Z</dcterms:created>
  <dcterms:modified xsi:type="dcterms:W3CDTF">2016-05-27T12:09:00Z</dcterms:modified>
</cp:coreProperties>
</file>