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10" w:rsidRPr="00AA4610" w:rsidRDefault="00AA4610" w:rsidP="00AA4610">
      <w:pPr>
        <w:spacing w:after="0" w:line="240" w:lineRule="auto"/>
        <w:jc w:val="center"/>
        <w:textAlignment w:val="baseline"/>
        <w:outlineLvl w:val="0"/>
        <w:rPr>
          <w:rFonts w:ascii="Times New Roman" w:eastAsia="Times New Roman" w:hAnsi="Times New Roman" w:cs="Times New Roman"/>
          <w:b/>
          <w:bCs/>
          <w:kern w:val="36"/>
          <w:sz w:val="56"/>
          <w:szCs w:val="56"/>
          <w:lang w:eastAsia="es-ES"/>
        </w:rPr>
      </w:pPr>
      <w:r w:rsidRPr="00AA4610">
        <w:rPr>
          <w:rFonts w:ascii="Times New Roman" w:eastAsia="Times New Roman" w:hAnsi="Times New Roman" w:cs="Times New Roman"/>
          <w:b/>
          <w:bCs/>
          <w:kern w:val="36"/>
          <w:sz w:val="56"/>
          <w:szCs w:val="56"/>
          <w:lang w:eastAsia="es-ES"/>
        </w:rPr>
        <w:t>OXFAM desarrolla calculadora de la desigualdad país por país.</w:t>
      </w:r>
    </w:p>
    <w:p w:rsidR="00AA4610" w:rsidRPr="00AA4610" w:rsidRDefault="00AA4610" w:rsidP="00AA4610">
      <w:pPr>
        <w:shd w:val="clear" w:color="auto" w:fill="A10F15"/>
        <w:spacing w:before="100" w:beforeAutospacing="1" w:after="100" w:afterAutospacing="1" w:line="240" w:lineRule="auto"/>
        <w:textAlignment w:val="baseline"/>
        <w:outlineLvl w:val="1"/>
        <w:rPr>
          <w:rFonts w:ascii="Times New Roman" w:eastAsia="Times New Roman" w:hAnsi="Times New Roman" w:cs="Times New Roman"/>
          <w:b/>
          <w:bCs/>
          <w:caps/>
          <w:color w:val="FFFFFF"/>
          <w:sz w:val="36"/>
          <w:szCs w:val="36"/>
          <w:lang w:eastAsia="es-ES"/>
        </w:rPr>
      </w:pPr>
      <w:r w:rsidRPr="00AA4610">
        <w:rPr>
          <w:rFonts w:ascii="Times New Roman" w:eastAsia="Times New Roman" w:hAnsi="Times New Roman" w:cs="Times New Roman"/>
          <w:b/>
          <w:bCs/>
          <w:caps/>
          <w:color w:val="FFFFFF"/>
          <w:sz w:val="36"/>
          <w:szCs w:val="36"/>
          <w:lang w:eastAsia="es-ES"/>
        </w:rPr>
        <w:t>LA MEDIDA DE LA DESIGUALDAD.</w:t>
      </w:r>
    </w:p>
    <w:p w:rsidR="00AA4610" w:rsidRPr="00AA4610" w:rsidRDefault="00AA4610" w:rsidP="00AA4610">
      <w:pPr>
        <w:pBdr>
          <w:top w:val="dotted" w:sz="6" w:space="4" w:color="EBEBEB"/>
          <w:bottom w:val="dotted" w:sz="6" w:space="4" w:color="EBEBEB"/>
        </w:pBdr>
        <w:spacing w:beforeAutospacing="1" w:after="0" w:afterAutospacing="1" w:line="240" w:lineRule="auto"/>
        <w:jc w:val="right"/>
        <w:textAlignment w:val="baseline"/>
        <w:rPr>
          <w:rFonts w:ascii="inherit" w:eastAsia="Times New Roman" w:hAnsi="inherit" w:cs="Times New Roman"/>
          <w:color w:val="000000" w:themeColor="text1"/>
          <w:sz w:val="24"/>
          <w:szCs w:val="24"/>
          <w:lang w:eastAsia="es-ES"/>
        </w:rPr>
      </w:pPr>
      <w:hyperlink r:id="rId5" w:tgtFrame="_blank" w:history="1">
        <w:r w:rsidRPr="00AA4610">
          <w:rPr>
            <w:rFonts w:ascii="inherit" w:eastAsia="Times New Roman" w:hAnsi="inherit" w:cs="Times New Roman"/>
            <w:b/>
            <w:bCs/>
            <w:color w:val="000000" w:themeColor="text1"/>
            <w:sz w:val="24"/>
            <w:szCs w:val="24"/>
            <w:lang w:eastAsia="es-ES"/>
          </w:rPr>
          <w:t>24 junio, 2016</w:t>
        </w:r>
      </w:hyperlink>
      <w:r w:rsidRPr="00AA4610">
        <w:rPr>
          <w:rFonts w:ascii="inherit" w:eastAsia="Times New Roman" w:hAnsi="inherit" w:cs="Times New Roman"/>
          <w:color w:val="000000" w:themeColor="text1"/>
          <w:sz w:val="24"/>
          <w:szCs w:val="24"/>
          <w:lang w:eastAsia="es-ES"/>
        </w:rPr>
        <w:t> </w:t>
      </w:r>
      <w:hyperlink r:id="rId6" w:tgtFrame="_blank" w:history="1">
        <w:r w:rsidRPr="00AA4610">
          <w:rPr>
            <w:rFonts w:ascii="inherit" w:eastAsia="Times New Roman" w:hAnsi="inherit" w:cs="Times New Roman"/>
            <w:b/>
            <w:bCs/>
            <w:color w:val="000000" w:themeColor="text1"/>
            <w:sz w:val="24"/>
            <w:szCs w:val="24"/>
            <w:lang w:eastAsia="es-ES"/>
          </w:rPr>
          <w:t>Editor</w:t>
        </w:r>
      </w:hyperlink>
      <w:r w:rsidRPr="00AA4610">
        <w:rPr>
          <w:rFonts w:ascii="inherit" w:eastAsia="Times New Roman" w:hAnsi="inherit" w:cs="Times New Roman"/>
          <w:color w:val="000000" w:themeColor="text1"/>
          <w:sz w:val="24"/>
          <w:szCs w:val="24"/>
          <w:lang w:eastAsia="es-ES"/>
        </w:rPr>
        <w:t> </w:t>
      </w:r>
      <w:hyperlink r:id="rId7" w:tgtFrame="_blank" w:history="1">
        <w:r w:rsidRPr="00AA4610">
          <w:rPr>
            <w:rFonts w:ascii="inherit" w:eastAsia="Times New Roman" w:hAnsi="inherit" w:cs="Times New Roman"/>
            <w:b/>
            <w:bCs/>
            <w:color w:val="000000" w:themeColor="text1"/>
            <w:sz w:val="24"/>
            <w:szCs w:val="24"/>
            <w:lang w:eastAsia="es-ES"/>
          </w:rPr>
          <w:t>Economía e internacionalización</w:t>
        </w:r>
      </w:hyperlink>
      <w:r w:rsidRPr="00AA4610">
        <w:rPr>
          <w:rFonts w:ascii="inherit" w:eastAsia="Times New Roman" w:hAnsi="inherit" w:cs="Times New Roman"/>
          <w:color w:val="000000" w:themeColor="text1"/>
          <w:sz w:val="24"/>
          <w:szCs w:val="24"/>
          <w:bdr w:val="none" w:sz="0" w:space="0" w:color="auto" w:frame="1"/>
          <w:lang w:eastAsia="es-ES"/>
        </w:rPr>
        <w:t>, </w:t>
      </w:r>
      <w:hyperlink r:id="rId8" w:tgtFrame="_blank" w:history="1">
        <w:r w:rsidRPr="00AA4610">
          <w:rPr>
            <w:rFonts w:ascii="inherit" w:eastAsia="Times New Roman" w:hAnsi="inherit" w:cs="Times New Roman"/>
            <w:b/>
            <w:bCs/>
            <w:color w:val="000000" w:themeColor="text1"/>
            <w:sz w:val="24"/>
            <w:szCs w:val="24"/>
            <w:lang w:eastAsia="es-ES"/>
          </w:rPr>
          <w:t>Economía mundial</w:t>
        </w:r>
      </w:hyperlink>
      <w:r w:rsidRPr="00AA4610">
        <w:rPr>
          <w:rFonts w:ascii="inherit" w:eastAsia="Times New Roman" w:hAnsi="inherit" w:cs="Times New Roman"/>
          <w:color w:val="000000" w:themeColor="text1"/>
          <w:sz w:val="24"/>
          <w:szCs w:val="24"/>
          <w:lang w:eastAsia="es-ES"/>
        </w:rPr>
        <w:t> </w:t>
      </w:r>
      <w:hyperlink r:id="rId9" w:anchor="mh-comments" w:tgtFrame="_blank" w:history="1">
        <w:r w:rsidRPr="00AA4610">
          <w:rPr>
            <w:rFonts w:ascii="inherit" w:eastAsia="Times New Roman" w:hAnsi="inherit" w:cs="Times New Roman"/>
            <w:b/>
            <w:bCs/>
            <w:color w:val="000000" w:themeColor="text1"/>
            <w:sz w:val="24"/>
            <w:szCs w:val="24"/>
            <w:lang w:eastAsia="es-ES"/>
          </w:rPr>
          <w:t>0</w:t>
        </w:r>
      </w:hyperlink>
    </w:p>
    <w:p w:rsidR="00AA4610" w:rsidRPr="00AA4610" w:rsidRDefault="00AA4610" w:rsidP="00AA4610">
      <w:pPr>
        <w:shd w:val="clear" w:color="auto" w:fill="FFFFFF"/>
        <w:spacing w:beforeAutospacing="1" w:after="0" w:afterAutospacing="1"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i/>
          <w:iCs/>
          <w:color w:val="008000"/>
          <w:sz w:val="21"/>
          <w:lang w:eastAsia="es-ES"/>
        </w:rPr>
        <w:t>Por OXFAM /CLACSO.</w:t>
      </w:r>
    </w:p>
    <w:p w:rsidR="00AA4610" w:rsidRPr="00AA4610" w:rsidRDefault="00AA4610" w:rsidP="00AA4610">
      <w:pPr>
        <w:shd w:val="clear" w:color="auto" w:fill="FFFFFF"/>
        <w:spacing w:beforeAutospacing="1" w:after="0" w:afterAutospacing="1"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b/>
          <w:bCs/>
          <w:color w:val="262626"/>
          <w:sz w:val="21"/>
          <w:lang w:eastAsia="es-ES"/>
        </w:rPr>
        <w:t>Una herramienta para calcular el tamaño de la injusticia social en América Latina.</w:t>
      </w:r>
    </w:p>
    <w:p w:rsidR="00AA4610" w:rsidRPr="00AA4610" w:rsidRDefault="00AA4610" w:rsidP="00AA4610">
      <w:pPr>
        <w:shd w:val="clear" w:color="auto" w:fill="FFFFFF"/>
        <w:spacing w:beforeAutospacing="1" w:after="0" w:afterAutospacing="1"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CLACSO se ha sumado activamente a la </w:t>
      </w:r>
      <w:r w:rsidRPr="00AA4610">
        <w:rPr>
          <w:rFonts w:ascii="inherit" w:eastAsia="Times New Roman" w:hAnsi="inherit" w:cs="Helvetica"/>
          <w:b/>
          <w:bCs/>
          <w:color w:val="262626"/>
          <w:sz w:val="21"/>
          <w:lang w:eastAsia="es-ES"/>
        </w:rPr>
        <w:t>Campaña Iguales</w:t>
      </w:r>
      <w:r w:rsidRPr="00AA4610">
        <w:rPr>
          <w:rFonts w:ascii="inherit" w:eastAsia="Times New Roman" w:hAnsi="inherit" w:cs="Helvetica"/>
          <w:color w:val="262626"/>
          <w:sz w:val="21"/>
          <w:szCs w:val="21"/>
          <w:lang w:eastAsia="es-ES"/>
        </w:rPr>
        <w:t>, promovida por OXFAM.</w:t>
      </w:r>
    </w:p>
    <w:p w:rsidR="00AA4610" w:rsidRPr="00AA4610" w:rsidRDefault="00AA4610" w:rsidP="00AA4610">
      <w:pPr>
        <w:shd w:val="clear" w:color="auto" w:fill="FFFFFF"/>
        <w:spacing w:beforeAutospacing="1" w:after="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b/>
          <w:bCs/>
          <w:color w:val="262626"/>
          <w:sz w:val="21"/>
          <w:lang w:eastAsia="es-ES"/>
        </w:rPr>
        <w:t>Iguales</w:t>
      </w:r>
      <w:r w:rsidRPr="00AA4610">
        <w:rPr>
          <w:rFonts w:ascii="inherit" w:eastAsia="Times New Roman" w:hAnsi="inherit" w:cs="Helvetica"/>
          <w:color w:val="262626"/>
          <w:sz w:val="21"/>
          <w:szCs w:val="21"/>
          <w:lang w:eastAsia="es-ES"/>
        </w:rPr>
        <w:t> pretende contribuir con la movilización y la concientización ciudadana contra los altísimos niveles de desigualdad existentes hoy en el mundo, particularmente, en América Latina. Lo hace contribuyendo con investigaciones, documentos y datos que muestran cómo las desigualdades se profundizan y generan privilegios que niegan derechos. La desigualdad conspira contra la democracia. OXFAM realiza un aporte de enorme valor político cuando nos ayuda a entender cómo funcionan los procesos de producción y reproducción de la desigualdad, qué factores están asociados a ella y qué podemos hacer para revertir las causas que la generan.</w:t>
      </w:r>
    </w:p>
    <w:p w:rsidR="00AA4610" w:rsidRPr="00AA4610" w:rsidRDefault="00AA4610" w:rsidP="00AA4610">
      <w:pPr>
        <w:shd w:val="clear" w:color="auto" w:fill="FFFFFF"/>
        <w:spacing w:beforeAutospacing="1" w:after="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Como parte de la </w:t>
      </w:r>
      <w:r w:rsidRPr="00AA4610">
        <w:rPr>
          <w:rFonts w:ascii="inherit" w:eastAsia="Times New Roman" w:hAnsi="inherit" w:cs="Helvetica"/>
          <w:b/>
          <w:bCs/>
          <w:color w:val="262626"/>
          <w:sz w:val="21"/>
          <w:lang w:eastAsia="es-ES"/>
        </w:rPr>
        <w:t>Campaña Iguales</w:t>
      </w:r>
      <w:r w:rsidRPr="00AA4610">
        <w:rPr>
          <w:rFonts w:ascii="inherit" w:eastAsia="Times New Roman" w:hAnsi="inherit" w:cs="Helvetica"/>
          <w:color w:val="262626"/>
          <w:sz w:val="21"/>
          <w:szCs w:val="21"/>
          <w:lang w:eastAsia="es-ES"/>
        </w:rPr>
        <w:t xml:space="preserve">, OXFAM ha producido una creativa y útil herramienta que mucho podrá ayudarnos a entender las inmensas desigualdades de ingreso que existen en América Latina. Se trata de la CALCULADORA DE LA DESIGUALDAD, donde es posible comparar niveles de ingreso en cada </w:t>
      </w:r>
      <w:proofErr w:type="spellStart"/>
      <w:r w:rsidRPr="00AA4610">
        <w:rPr>
          <w:rFonts w:ascii="inherit" w:eastAsia="Times New Roman" w:hAnsi="inherit" w:cs="Helvetica"/>
          <w:color w:val="262626"/>
          <w:sz w:val="21"/>
          <w:szCs w:val="21"/>
          <w:lang w:eastAsia="es-ES"/>
        </w:rPr>
        <w:t>decil</w:t>
      </w:r>
      <w:proofErr w:type="spellEnd"/>
      <w:r w:rsidRPr="00AA4610">
        <w:rPr>
          <w:rFonts w:ascii="inherit" w:eastAsia="Times New Roman" w:hAnsi="inherit" w:cs="Helvetica"/>
          <w:color w:val="262626"/>
          <w:sz w:val="21"/>
          <w:szCs w:val="21"/>
          <w:lang w:eastAsia="es-ES"/>
        </w:rPr>
        <w:t xml:space="preserve"> de la población de 15 países latinoamericanos. La CALCULADORA contribuye a hacer más visible las enormes brechas que separan ricos de pobres, así como la diferencia entre pobreza y desigualdad que caracteriza a nuestra región.</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Los invitamos a conocer y divulgar esta necesaria y oportuna iniciativa.</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Ir a la Calculadora:</w:t>
      </w:r>
    </w:p>
    <w:p w:rsidR="00AA4610" w:rsidRPr="00AA4610" w:rsidRDefault="00AA4610" w:rsidP="00AA4610">
      <w:pPr>
        <w:shd w:val="clear" w:color="auto" w:fill="FFFFFF"/>
        <w:spacing w:beforeAutospacing="1" w:after="0" w:afterAutospacing="1" w:line="336" w:lineRule="atLeast"/>
        <w:jc w:val="both"/>
        <w:textAlignment w:val="baseline"/>
        <w:rPr>
          <w:rFonts w:ascii="inherit" w:eastAsia="Times New Roman" w:hAnsi="inherit" w:cs="Helvetica"/>
          <w:color w:val="262626"/>
          <w:sz w:val="21"/>
          <w:szCs w:val="21"/>
          <w:lang w:eastAsia="es-ES"/>
        </w:rPr>
      </w:pPr>
      <w:hyperlink r:id="rId10" w:tgtFrame="_blank" w:history="1">
        <w:r w:rsidRPr="00AA4610">
          <w:rPr>
            <w:rFonts w:ascii="inherit" w:eastAsia="Times New Roman" w:hAnsi="inherit" w:cs="Helvetica"/>
            <w:b/>
            <w:bCs/>
            <w:color w:val="A10F15"/>
            <w:sz w:val="21"/>
            <w:lang w:eastAsia="es-ES"/>
          </w:rPr>
          <w:t> http://www.clacso.org.ar/calculadora_desigualdad/calculadora.php</w:t>
        </w:r>
      </w:hyperlink>
    </w:p>
    <w:p w:rsidR="00AA4610" w:rsidRPr="00AA4610" w:rsidRDefault="00AA4610" w:rsidP="00AA4610">
      <w:pPr>
        <w:shd w:val="clear" w:color="auto" w:fill="FFFFFF"/>
        <w:spacing w:beforeAutospacing="1" w:after="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b/>
          <w:bCs/>
          <w:color w:val="262626"/>
          <w:sz w:val="21"/>
          <w:lang w:eastAsia="es-ES"/>
        </w:rPr>
        <w:t>¿CÓMO FUNCIONA LA CALCULADORA? ¿CUÁL ES SU METODOLOGÍA?</w:t>
      </w:r>
    </w:p>
    <w:p w:rsidR="00AA4610" w:rsidRPr="00AA4610" w:rsidRDefault="00AA4610" w:rsidP="00AA4610">
      <w:pPr>
        <w:shd w:val="clear" w:color="auto" w:fill="FFFFFF"/>
        <w:spacing w:beforeAutospacing="1" w:after="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b/>
          <w:bCs/>
          <w:color w:val="262626"/>
          <w:sz w:val="21"/>
          <w:lang w:eastAsia="es-ES"/>
        </w:rPr>
        <w:t> Narrar la desigualdad comparando los ingresos</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¿Cómo explicar la desigualdad desde la narrativa digital para volver a conmover y comprometer a más lectores y ciudadanos? Bajo esa pregunta, el equipo de Ojo-publico.com se planteó desarrollar, </w:t>
      </w:r>
      <w:r w:rsidRPr="00AA4610">
        <w:rPr>
          <w:rFonts w:ascii="inherit" w:eastAsia="Times New Roman" w:hAnsi="inherit" w:cs="Helvetica"/>
          <w:color w:val="262626"/>
          <w:sz w:val="21"/>
          <w:szCs w:val="21"/>
          <w:lang w:eastAsia="es-ES"/>
        </w:rPr>
        <w:lastRenderedPageBreak/>
        <w:t xml:space="preserve">en alianza con </w:t>
      </w:r>
      <w:proofErr w:type="spellStart"/>
      <w:r w:rsidRPr="00AA4610">
        <w:rPr>
          <w:rFonts w:ascii="inherit" w:eastAsia="Times New Roman" w:hAnsi="inherit" w:cs="Helvetica"/>
          <w:color w:val="262626"/>
          <w:sz w:val="21"/>
          <w:szCs w:val="21"/>
          <w:lang w:eastAsia="es-ES"/>
        </w:rPr>
        <w:t>Oxfam</w:t>
      </w:r>
      <w:proofErr w:type="spellEnd"/>
      <w:r w:rsidRPr="00AA4610">
        <w:rPr>
          <w:rFonts w:ascii="inherit" w:eastAsia="Times New Roman" w:hAnsi="inherit" w:cs="Helvetica"/>
          <w:color w:val="262626"/>
          <w:sz w:val="21"/>
          <w:szCs w:val="21"/>
          <w:lang w:eastAsia="es-ES"/>
        </w:rPr>
        <w:t xml:space="preserve"> una aplicación que permitiera contar de manera lúdica y referencial las enormes brechas de ingresos que existen en América Latina y el Caribe.</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La Calculadora de la Desigualdad se basa en un algoritmo que divide el ingreso mensual de un hogar entre sus miembros y lo compara con la población de su país ordenada del grupo más pobre al más rico en 10 grupos o </w:t>
      </w:r>
      <w:proofErr w:type="spellStart"/>
      <w:r w:rsidRPr="00AA4610">
        <w:rPr>
          <w:rFonts w:ascii="inherit" w:eastAsia="Times New Roman" w:hAnsi="inherit" w:cs="Helvetica"/>
          <w:color w:val="262626"/>
          <w:sz w:val="21"/>
          <w:szCs w:val="21"/>
          <w:lang w:eastAsia="es-ES"/>
        </w:rPr>
        <w:t>deciles</w:t>
      </w:r>
      <w:proofErr w:type="spellEnd"/>
      <w:r w:rsidRPr="00AA4610">
        <w:rPr>
          <w:rFonts w:ascii="inherit" w:eastAsia="Times New Roman" w:hAnsi="inherit" w:cs="Helvetica"/>
          <w:color w:val="262626"/>
          <w:sz w:val="21"/>
          <w:szCs w:val="21"/>
          <w:lang w:eastAsia="es-ES"/>
        </w:rPr>
        <w:t xml:space="preserve"> más el grupo de los multimillonarios. El resultado de estos cálculos le muestra al usuario un estimado del tiempo que necesitaría trabajar para obtener los ingresos mensuales promedio de un multimillonario y, además, lo compara con los de los diferentes </w:t>
      </w:r>
      <w:proofErr w:type="spellStart"/>
      <w:r w:rsidRPr="00AA4610">
        <w:rPr>
          <w:rFonts w:ascii="inherit" w:eastAsia="Times New Roman" w:hAnsi="inherit" w:cs="Helvetica"/>
          <w:color w:val="262626"/>
          <w:sz w:val="21"/>
          <w:szCs w:val="21"/>
          <w:lang w:eastAsia="es-ES"/>
        </w:rPr>
        <w:t>deciles</w:t>
      </w:r>
      <w:proofErr w:type="spellEnd"/>
      <w:r w:rsidRPr="00AA4610">
        <w:rPr>
          <w:rFonts w:ascii="inherit" w:eastAsia="Times New Roman" w:hAnsi="inherit" w:cs="Helvetica"/>
          <w:color w:val="262626"/>
          <w:sz w:val="21"/>
          <w:szCs w:val="21"/>
          <w:lang w:eastAsia="es-ES"/>
        </w:rPr>
        <w:t xml:space="preserve"> de su país. La brecha del tiempo -algunos necesitarían trabajar varios siglos para alcanzar esos ingresos- explica de manera lúdica, pero directa, aquella distancia inalcanzable que separa al ciudadano común de los multimillonarios.</w:t>
      </w:r>
    </w:p>
    <w:p w:rsidR="00AA4610" w:rsidRPr="00AA4610" w:rsidRDefault="00AA4610" w:rsidP="00AA4610">
      <w:pPr>
        <w:numPr>
          <w:ilvl w:val="0"/>
          <w:numId w:val="1"/>
        </w:numPr>
        <w:shd w:val="clear" w:color="auto" w:fill="FFFFFF"/>
        <w:spacing w:after="0"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Para definir los rangos mínimos, máximos y la media de los ingresos mensuales per cápita promedio del </w:t>
      </w:r>
      <w:proofErr w:type="spellStart"/>
      <w:r w:rsidRPr="00AA4610">
        <w:rPr>
          <w:rFonts w:ascii="inherit" w:eastAsia="Times New Roman" w:hAnsi="inherit" w:cs="Helvetica"/>
          <w:color w:val="262626"/>
          <w:sz w:val="21"/>
          <w:szCs w:val="21"/>
          <w:lang w:eastAsia="es-ES"/>
        </w:rPr>
        <w:t>decil</w:t>
      </w:r>
      <w:proofErr w:type="spellEnd"/>
      <w:r w:rsidRPr="00AA4610">
        <w:rPr>
          <w:rFonts w:ascii="inherit" w:eastAsia="Times New Roman" w:hAnsi="inherit" w:cs="Helvetica"/>
          <w:color w:val="262626"/>
          <w:sz w:val="21"/>
          <w:szCs w:val="21"/>
          <w:lang w:eastAsia="es-ES"/>
        </w:rPr>
        <w:t xml:space="preserve"> 1 al </w:t>
      </w:r>
      <w:proofErr w:type="spellStart"/>
      <w:r w:rsidRPr="00AA4610">
        <w:rPr>
          <w:rFonts w:ascii="inherit" w:eastAsia="Times New Roman" w:hAnsi="inherit" w:cs="Helvetica"/>
          <w:color w:val="262626"/>
          <w:sz w:val="21"/>
          <w:szCs w:val="21"/>
          <w:lang w:eastAsia="es-ES"/>
        </w:rPr>
        <w:t>decil</w:t>
      </w:r>
      <w:proofErr w:type="spellEnd"/>
      <w:r w:rsidRPr="00AA4610">
        <w:rPr>
          <w:rFonts w:ascii="inherit" w:eastAsia="Times New Roman" w:hAnsi="inherit" w:cs="Helvetica"/>
          <w:color w:val="262626"/>
          <w:sz w:val="21"/>
          <w:szCs w:val="21"/>
          <w:lang w:eastAsia="es-ES"/>
        </w:rPr>
        <w:t xml:space="preserve"> 10, la aplicación recogió información de la Comisión Económica para América Latina y el Caribe (</w:t>
      </w:r>
      <w:proofErr w:type="spellStart"/>
      <w:r w:rsidRPr="00AA4610">
        <w:rPr>
          <w:rFonts w:ascii="inherit" w:eastAsia="Times New Roman" w:hAnsi="inherit" w:cs="Helvetica"/>
          <w:color w:val="262626"/>
          <w:sz w:val="21"/>
          <w:szCs w:val="21"/>
          <w:lang w:eastAsia="es-ES"/>
        </w:rPr>
        <w:t>Cepal</w:t>
      </w:r>
      <w:proofErr w:type="spellEnd"/>
      <w:r w:rsidRPr="00AA4610">
        <w:rPr>
          <w:rFonts w:ascii="inherit" w:eastAsia="Times New Roman" w:hAnsi="inherit" w:cs="Helvetica"/>
          <w:color w:val="262626"/>
          <w:sz w:val="21"/>
          <w:szCs w:val="21"/>
          <w:lang w:eastAsia="es-ES"/>
        </w:rPr>
        <w:t xml:space="preserve">), según la última encuesta de hogares disponible por país actualizada al 2015. El apoyo de esta institución en la provisión de datos fue fundamental para el desarrollo de esta aplicación y fue posible gracias a un convenio entre </w:t>
      </w:r>
      <w:proofErr w:type="spellStart"/>
      <w:r w:rsidRPr="00AA4610">
        <w:rPr>
          <w:rFonts w:ascii="inherit" w:eastAsia="Times New Roman" w:hAnsi="inherit" w:cs="Helvetica"/>
          <w:color w:val="262626"/>
          <w:sz w:val="21"/>
          <w:szCs w:val="21"/>
          <w:lang w:eastAsia="es-ES"/>
        </w:rPr>
        <w:t>Oxfam</w:t>
      </w:r>
      <w:proofErr w:type="spellEnd"/>
      <w:r w:rsidRPr="00AA4610">
        <w:rPr>
          <w:rFonts w:ascii="inherit" w:eastAsia="Times New Roman" w:hAnsi="inherit" w:cs="Helvetica"/>
          <w:color w:val="262626"/>
          <w:sz w:val="21"/>
          <w:szCs w:val="21"/>
          <w:lang w:eastAsia="es-ES"/>
        </w:rPr>
        <w:t xml:space="preserve"> y </w:t>
      </w:r>
      <w:proofErr w:type="spellStart"/>
      <w:r w:rsidRPr="00AA4610">
        <w:rPr>
          <w:rFonts w:ascii="inherit" w:eastAsia="Times New Roman" w:hAnsi="inherit" w:cs="Helvetica"/>
          <w:color w:val="262626"/>
          <w:sz w:val="21"/>
          <w:szCs w:val="21"/>
          <w:lang w:eastAsia="es-ES"/>
        </w:rPr>
        <w:t>Cepal</w:t>
      </w:r>
      <w:proofErr w:type="spellEnd"/>
      <w:r w:rsidRPr="00AA4610">
        <w:rPr>
          <w:rFonts w:ascii="inherit" w:eastAsia="Times New Roman" w:hAnsi="inherit" w:cs="Helvetica"/>
          <w:color w:val="262626"/>
          <w:sz w:val="21"/>
          <w:szCs w:val="21"/>
          <w:lang w:eastAsia="es-ES"/>
        </w:rPr>
        <w:t>.</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La actualización al 2015 se hizo utilizando el promedio del Índice de Precios del Consumidor (IPC) de los meses del 2015 en cada país. Para Argentina, se cuenta con la serie de IPC hasta octubre de 2015 y para Venezuela, hasta septiembre 2015. Luego, la actualización se realizó utilizando el promedio de los meses disponibles para 2015 en estos países. Es importante mencionar que dada la diversidad de fuentes de información, metodologías y definiciones que aplican los países, la </w:t>
      </w:r>
      <w:proofErr w:type="spellStart"/>
      <w:r w:rsidRPr="00AA4610">
        <w:rPr>
          <w:rFonts w:ascii="inherit" w:eastAsia="Times New Roman" w:hAnsi="inherit" w:cs="Helvetica"/>
          <w:color w:val="262626"/>
          <w:sz w:val="21"/>
          <w:szCs w:val="21"/>
          <w:lang w:eastAsia="es-ES"/>
        </w:rPr>
        <w:t>Cepal</w:t>
      </w:r>
      <w:proofErr w:type="spellEnd"/>
      <w:r w:rsidRPr="00AA4610">
        <w:rPr>
          <w:rFonts w:ascii="inherit" w:eastAsia="Times New Roman" w:hAnsi="inherit" w:cs="Helvetica"/>
          <w:color w:val="262626"/>
          <w:sz w:val="21"/>
          <w:szCs w:val="21"/>
          <w:lang w:eastAsia="es-ES"/>
        </w:rPr>
        <w:t xml:space="preserve"> realiza procesos de estandarización de los datos para hacerlos comparables y, por tanto, los datos finales pueden diferir de los oficiales que aparecen en las encuestas de cada país.</w:t>
      </w:r>
    </w:p>
    <w:p w:rsidR="00AA4610" w:rsidRPr="00AA4610" w:rsidRDefault="00AA4610" w:rsidP="00AA4610">
      <w:pPr>
        <w:numPr>
          <w:ilvl w:val="0"/>
          <w:numId w:val="2"/>
        </w:numPr>
        <w:shd w:val="clear" w:color="auto" w:fill="FFFFFF"/>
        <w:spacing w:after="0"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La metodología de cálculo del ratio ingreso per cápita mensual promedio de los multimillonarios fue desarrollada para el Informe de </w:t>
      </w:r>
      <w:proofErr w:type="spellStart"/>
      <w:r w:rsidRPr="00AA4610">
        <w:rPr>
          <w:rFonts w:ascii="inherit" w:eastAsia="Times New Roman" w:hAnsi="inherit" w:cs="Helvetica"/>
          <w:color w:val="262626"/>
          <w:sz w:val="21"/>
          <w:szCs w:val="21"/>
          <w:lang w:eastAsia="es-ES"/>
        </w:rPr>
        <w:t>Oxfam</w:t>
      </w:r>
      <w:proofErr w:type="spellEnd"/>
      <w:r w:rsidRPr="00AA4610">
        <w:rPr>
          <w:rFonts w:ascii="inherit" w:eastAsia="Times New Roman" w:hAnsi="inherit" w:cs="Helvetica"/>
          <w:color w:val="262626"/>
          <w:sz w:val="21"/>
          <w:szCs w:val="21"/>
          <w:lang w:eastAsia="es-ES"/>
        </w:rPr>
        <w:t>: “Privilegios que niegan derechos: Desigualdad extrema y secuestro de la democracia en América Latina y el Caribe”, y fue estimada de la siguiente manera:</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El ingreso anual per cápita de los multimillonarios se calculó a partir de los datos de la riqueza total de la población con Riqueza Neta Ultra Alta (UHNW, por sus siglas en inglés) tomados del Informe de la Ultra Riqueza Neta 2014 (</w:t>
      </w:r>
      <w:proofErr w:type="spellStart"/>
      <w:r w:rsidRPr="00AA4610">
        <w:rPr>
          <w:rFonts w:ascii="inherit" w:eastAsia="Times New Roman" w:hAnsi="inherit" w:cs="Helvetica"/>
          <w:color w:val="262626"/>
          <w:sz w:val="21"/>
          <w:szCs w:val="21"/>
          <w:lang w:eastAsia="es-ES"/>
        </w:rPr>
        <w:t>World</w:t>
      </w:r>
      <w:proofErr w:type="spellEnd"/>
      <w:r w:rsidRPr="00AA4610">
        <w:rPr>
          <w:rFonts w:ascii="inherit" w:eastAsia="Times New Roman" w:hAnsi="inherit" w:cs="Helvetica"/>
          <w:color w:val="262626"/>
          <w:sz w:val="21"/>
          <w:szCs w:val="21"/>
          <w:lang w:eastAsia="es-ES"/>
        </w:rPr>
        <w:t xml:space="preserve"> Ultra </w:t>
      </w:r>
      <w:proofErr w:type="spellStart"/>
      <w:r w:rsidRPr="00AA4610">
        <w:rPr>
          <w:rFonts w:ascii="inherit" w:eastAsia="Times New Roman" w:hAnsi="inherit" w:cs="Helvetica"/>
          <w:color w:val="262626"/>
          <w:sz w:val="21"/>
          <w:szCs w:val="21"/>
          <w:lang w:eastAsia="es-ES"/>
        </w:rPr>
        <w:t>Wealth</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Report</w:t>
      </w:r>
      <w:proofErr w:type="spellEnd"/>
      <w:r w:rsidRPr="00AA4610">
        <w:rPr>
          <w:rFonts w:ascii="inherit" w:eastAsia="Times New Roman" w:hAnsi="inherit" w:cs="Helvetica"/>
          <w:color w:val="262626"/>
          <w:sz w:val="21"/>
          <w:szCs w:val="21"/>
          <w:lang w:eastAsia="es-ES"/>
        </w:rPr>
        <w:t xml:space="preserve"> 2014, página 70). El citado informe considera como multimillonarios a las personas con activos netos iguales o mayores a 30 millones de dólares.</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 Para calcular el ingreso anual per cápita de los multimillonarios, se le aplicó una rentabilidad anual determinada a la riqueza neta total de los mismos. Se estimó una rentabilidad anual de la riqueza neta total de 3,6%. Para ello se tomó como base el Informe Anual de Retornos de la Inversión de </w:t>
      </w:r>
      <w:proofErr w:type="spellStart"/>
      <w:r w:rsidRPr="00AA4610">
        <w:rPr>
          <w:rFonts w:ascii="inherit" w:eastAsia="Times New Roman" w:hAnsi="inherit" w:cs="Helvetica"/>
          <w:color w:val="262626"/>
          <w:sz w:val="21"/>
          <w:szCs w:val="21"/>
          <w:lang w:eastAsia="es-ES"/>
        </w:rPr>
        <w:t>Credit</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Suisse</w:t>
      </w:r>
      <w:proofErr w:type="spellEnd"/>
      <w:r w:rsidRPr="00AA4610">
        <w:rPr>
          <w:rFonts w:ascii="inherit" w:eastAsia="Times New Roman" w:hAnsi="inherit" w:cs="Helvetica"/>
          <w:color w:val="262626"/>
          <w:sz w:val="21"/>
          <w:szCs w:val="21"/>
          <w:lang w:eastAsia="es-ES"/>
        </w:rPr>
        <w:t xml:space="preserve"> 2013 (</w:t>
      </w:r>
      <w:proofErr w:type="spellStart"/>
      <w:r w:rsidRPr="00AA4610">
        <w:rPr>
          <w:rFonts w:ascii="inherit" w:eastAsia="Times New Roman" w:hAnsi="inherit" w:cs="Helvetica"/>
          <w:color w:val="262626"/>
          <w:sz w:val="21"/>
          <w:szCs w:val="21"/>
          <w:lang w:eastAsia="es-ES"/>
        </w:rPr>
        <w:t>Credit</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Suisse</w:t>
      </w:r>
      <w:proofErr w:type="spellEnd"/>
      <w:r w:rsidRPr="00AA4610">
        <w:rPr>
          <w:rFonts w:ascii="inherit" w:eastAsia="Times New Roman" w:hAnsi="inherit" w:cs="Helvetica"/>
          <w:color w:val="262626"/>
          <w:sz w:val="21"/>
          <w:szCs w:val="21"/>
          <w:lang w:eastAsia="es-ES"/>
        </w:rPr>
        <w:t xml:space="preserve"> Global </w:t>
      </w:r>
      <w:proofErr w:type="spellStart"/>
      <w:r w:rsidRPr="00AA4610">
        <w:rPr>
          <w:rFonts w:ascii="inherit" w:eastAsia="Times New Roman" w:hAnsi="inherit" w:cs="Helvetica"/>
          <w:color w:val="262626"/>
          <w:sz w:val="21"/>
          <w:szCs w:val="21"/>
          <w:lang w:eastAsia="es-ES"/>
        </w:rPr>
        <w:t>Investment</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Returns</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Yearbook</w:t>
      </w:r>
      <w:proofErr w:type="spellEnd"/>
      <w:r w:rsidRPr="00AA4610">
        <w:rPr>
          <w:rFonts w:ascii="inherit" w:eastAsia="Times New Roman" w:hAnsi="inherit" w:cs="Helvetica"/>
          <w:color w:val="262626"/>
          <w:sz w:val="21"/>
          <w:szCs w:val="21"/>
          <w:lang w:eastAsia="es-ES"/>
        </w:rPr>
        <w:t xml:space="preserve"> 2013, página 14); en el </w:t>
      </w:r>
      <w:r w:rsidRPr="00AA4610">
        <w:rPr>
          <w:rFonts w:ascii="inherit" w:eastAsia="Times New Roman" w:hAnsi="inherit" w:cs="Helvetica"/>
          <w:color w:val="262626"/>
          <w:sz w:val="21"/>
          <w:szCs w:val="21"/>
          <w:lang w:eastAsia="es-ES"/>
        </w:rPr>
        <w:lastRenderedPageBreak/>
        <w:t>mismo se proyecta que para los próximos 20-30 años la rentabilidad real anual para fondos invertidos “en partes iguales entre acciones y bonos del gobierno” (</w:t>
      </w:r>
      <w:proofErr w:type="spellStart"/>
      <w:r w:rsidRPr="00AA4610">
        <w:rPr>
          <w:rFonts w:ascii="inherit" w:eastAsia="Times New Roman" w:hAnsi="inherit" w:cs="Helvetica"/>
          <w:color w:val="262626"/>
          <w:sz w:val="21"/>
          <w:szCs w:val="21"/>
          <w:lang w:eastAsia="es-ES"/>
        </w:rPr>
        <w:t>equally</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between</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equities</w:t>
      </w:r>
      <w:proofErr w:type="spellEnd"/>
      <w:r w:rsidRPr="00AA4610">
        <w:rPr>
          <w:rFonts w:ascii="inherit" w:eastAsia="Times New Roman" w:hAnsi="inherit" w:cs="Helvetica"/>
          <w:color w:val="262626"/>
          <w:sz w:val="21"/>
          <w:szCs w:val="21"/>
          <w:lang w:eastAsia="es-ES"/>
        </w:rPr>
        <w:t xml:space="preserve"> and </w:t>
      </w:r>
      <w:proofErr w:type="spellStart"/>
      <w:r w:rsidRPr="00AA4610">
        <w:rPr>
          <w:rFonts w:ascii="inherit" w:eastAsia="Times New Roman" w:hAnsi="inherit" w:cs="Helvetica"/>
          <w:color w:val="262626"/>
          <w:sz w:val="21"/>
          <w:szCs w:val="21"/>
          <w:lang w:eastAsia="es-ES"/>
        </w:rPr>
        <w:t>government</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bonds</w:t>
      </w:r>
      <w:proofErr w:type="spellEnd"/>
      <w:r w:rsidRPr="00AA4610">
        <w:rPr>
          <w:rFonts w:ascii="inherit" w:eastAsia="Times New Roman" w:hAnsi="inherit" w:cs="Helvetica"/>
          <w:color w:val="262626"/>
          <w:sz w:val="21"/>
          <w:szCs w:val="21"/>
          <w:lang w:eastAsia="es-ES"/>
        </w:rPr>
        <w:t>) puede ser del 2%. A esta tasa se le sumó la tasa de inflación de los Estados Unidos de 2014, que fue de 1,6%, según el Banco Mundial, y se obtuvo así una rentabilidad nominal.</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Para pasar de ingreso anual per cápita promedio a ingreso mensual se dividió entre 12.</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El monto resultante se dividió entre la población total de multimillonarios del país y luego entre sus dependientes. Para estimar sus dependientes se tomó el dato del Informe de la Ultra Riqueza Neta 2014 (</w:t>
      </w:r>
      <w:proofErr w:type="spellStart"/>
      <w:r w:rsidRPr="00AA4610">
        <w:rPr>
          <w:rFonts w:ascii="inherit" w:eastAsia="Times New Roman" w:hAnsi="inherit" w:cs="Helvetica"/>
          <w:color w:val="262626"/>
          <w:sz w:val="21"/>
          <w:szCs w:val="21"/>
          <w:lang w:eastAsia="es-ES"/>
        </w:rPr>
        <w:t>World</w:t>
      </w:r>
      <w:proofErr w:type="spellEnd"/>
      <w:r w:rsidRPr="00AA4610">
        <w:rPr>
          <w:rFonts w:ascii="inherit" w:eastAsia="Times New Roman" w:hAnsi="inherit" w:cs="Helvetica"/>
          <w:color w:val="262626"/>
          <w:sz w:val="21"/>
          <w:szCs w:val="21"/>
          <w:lang w:eastAsia="es-ES"/>
        </w:rPr>
        <w:t xml:space="preserve"> Ultra </w:t>
      </w:r>
      <w:proofErr w:type="spellStart"/>
      <w:r w:rsidRPr="00AA4610">
        <w:rPr>
          <w:rFonts w:ascii="inherit" w:eastAsia="Times New Roman" w:hAnsi="inherit" w:cs="Helvetica"/>
          <w:color w:val="262626"/>
          <w:sz w:val="21"/>
          <w:szCs w:val="21"/>
          <w:lang w:eastAsia="es-ES"/>
        </w:rPr>
        <w:t>Wealth</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Report</w:t>
      </w:r>
      <w:proofErr w:type="spellEnd"/>
      <w:r w:rsidRPr="00AA4610">
        <w:rPr>
          <w:rFonts w:ascii="inherit" w:eastAsia="Times New Roman" w:hAnsi="inherit" w:cs="Helvetica"/>
          <w:color w:val="262626"/>
          <w:sz w:val="21"/>
          <w:szCs w:val="21"/>
          <w:lang w:eastAsia="es-ES"/>
        </w:rPr>
        <w:t xml:space="preserve"> 2014, página 34) en el que se especifica que los multimillonarios tienen en promedio 2,2 hijos y familias extendidas de más de 5 personas (esposos/as, padres, nietos, </w:t>
      </w:r>
      <w:proofErr w:type="gramStart"/>
      <w:r w:rsidRPr="00AA4610">
        <w:rPr>
          <w:rFonts w:ascii="inherit" w:eastAsia="Times New Roman" w:hAnsi="inherit" w:cs="Helvetica"/>
          <w:color w:val="262626"/>
          <w:sz w:val="21"/>
          <w:szCs w:val="21"/>
          <w:lang w:eastAsia="es-ES"/>
        </w:rPr>
        <w:t>etc..</w:t>
      </w:r>
      <w:proofErr w:type="gramEnd"/>
      <w:r w:rsidRPr="00AA4610">
        <w:rPr>
          <w:rFonts w:ascii="inherit" w:eastAsia="Times New Roman" w:hAnsi="inherit" w:cs="Helvetica"/>
          <w:color w:val="262626"/>
          <w:sz w:val="21"/>
          <w:szCs w:val="21"/>
          <w:lang w:eastAsia="es-ES"/>
        </w:rPr>
        <w:t>). Se decidió estimar que 4,2 personas dependen del ingreso multimillonario en promedio (2,2 hijos, un dependiente directo más y el multimillonario/</w:t>
      </w:r>
      <w:proofErr w:type="spellStart"/>
      <w:r w:rsidRPr="00AA4610">
        <w:rPr>
          <w:rFonts w:ascii="inherit" w:eastAsia="Times New Roman" w:hAnsi="inherit" w:cs="Helvetica"/>
          <w:color w:val="262626"/>
          <w:sz w:val="21"/>
          <w:szCs w:val="21"/>
          <w:lang w:eastAsia="es-ES"/>
        </w:rPr>
        <w:t>a</w:t>
      </w:r>
      <w:proofErr w:type="spellEnd"/>
      <w:r w:rsidRPr="00AA4610">
        <w:rPr>
          <w:rFonts w:ascii="inherit" w:eastAsia="Times New Roman" w:hAnsi="inherit" w:cs="Helvetica"/>
          <w:color w:val="262626"/>
          <w:sz w:val="21"/>
          <w:szCs w:val="21"/>
          <w:lang w:eastAsia="es-ES"/>
        </w:rPr>
        <w:t xml:space="preserve"> en sí).</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 Para el tipo de cambio diario a las monedas locales del ingreso promedio mensual per cápita de los multimillonarios se ha usado el API de </w:t>
      </w:r>
      <w:proofErr w:type="spellStart"/>
      <w:r w:rsidRPr="00AA4610">
        <w:rPr>
          <w:rFonts w:ascii="inherit" w:eastAsia="Times New Roman" w:hAnsi="inherit" w:cs="Helvetica"/>
          <w:color w:val="262626"/>
          <w:sz w:val="21"/>
          <w:szCs w:val="21"/>
          <w:lang w:eastAsia="es-ES"/>
        </w:rPr>
        <w:t>Yahoo</w:t>
      </w:r>
      <w:proofErr w:type="spellEnd"/>
      <w:r w:rsidRPr="00AA4610">
        <w:rPr>
          <w:rFonts w:ascii="inherit" w:eastAsia="Times New Roman" w:hAnsi="inherit" w:cs="Helvetica"/>
          <w:color w:val="262626"/>
          <w:sz w:val="21"/>
          <w:szCs w:val="21"/>
          <w:lang w:eastAsia="es-ES"/>
        </w:rPr>
        <w:t>.</w:t>
      </w:r>
    </w:p>
    <w:p w:rsidR="00AA4610" w:rsidRPr="00AA4610" w:rsidRDefault="00AA4610" w:rsidP="00AA4610">
      <w:pPr>
        <w:numPr>
          <w:ilvl w:val="0"/>
          <w:numId w:val="3"/>
        </w:numPr>
        <w:shd w:val="clear" w:color="auto" w:fill="FFFFFF"/>
        <w:spacing w:after="0"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Los grupos de muy altos ingresos, incluyendo a los multimillonarios, están </w:t>
      </w:r>
      <w:proofErr w:type="spellStart"/>
      <w:r w:rsidRPr="00AA4610">
        <w:rPr>
          <w:rFonts w:ascii="inherit" w:eastAsia="Times New Roman" w:hAnsi="inherit" w:cs="Helvetica"/>
          <w:color w:val="262626"/>
          <w:sz w:val="21"/>
          <w:szCs w:val="21"/>
          <w:lang w:eastAsia="es-ES"/>
        </w:rPr>
        <w:t>subrepresentados</w:t>
      </w:r>
      <w:proofErr w:type="spellEnd"/>
      <w:r w:rsidRPr="00AA4610">
        <w:rPr>
          <w:rFonts w:ascii="inherit" w:eastAsia="Times New Roman" w:hAnsi="inherit" w:cs="Helvetica"/>
          <w:color w:val="262626"/>
          <w:sz w:val="21"/>
          <w:szCs w:val="21"/>
          <w:lang w:eastAsia="es-ES"/>
        </w:rPr>
        <w:t xml:space="preserve"> o no son registrados en las encuestas de hogares. Esta calculadora intenta hacer énfasis en la necesidad de visibilizar la extrema concentración de la riqueza en el extremo superior de la distribución. Por esta razón, para fines de comparación en esta calculadora, hemos utilizado como límite superior de ingreso per cápita mensual del Grupo 10, el ingreso promedio per cápita mensual de un multimillonario. De esta manera:</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En el grupo 10 de esta calculadora entran las personas que ingresan mensual per cápita desde el límite superior del grupo 9 hasta el ingreso promedio per cápita mensual del grupo de los multimillonarios.</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En el grupo de los multimillonarios están las personas que tengan un ingreso mensual per cápita igual o superior al de un multimillonario promedio de su país (según el cálculo explicado en el punto anterior) y hasta el infinito.</w:t>
      </w:r>
    </w:p>
    <w:p w:rsidR="00AA4610" w:rsidRPr="00AA4610" w:rsidRDefault="00AA4610" w:rsidP="00AA4610">
      <w:pPr>
        <w:numPr>
          <w:ilvl w:val="0"/>
          <w:numId w:val="4"/>
        </w:numPr>
        <w:shd w:val="clear" w:color="auto" w:fill="FFFFFF"/>
        <w:spacing w:after="0"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El ingreso promedio mensual per cápita de cada </w:t>
      </w:r>
      <w:proofErr w:type="spellStart"/>
      <w:r w:rsidRPr="00AA4610">
        <w:rPr>
          <w:rFonts w:ascii="inherit" w:eastAsia="Times New Roman" w:hAnsi="inherit" w:cs="Helvetica"/>
          <w:color w:val="262626"/>
          <w:sz w:val="21"/>
          <w:szCs w:val="21"/>
          <w:lang w:eastAsia="es-ES"/>
        </w:rPr>
        <w:t>decil</w:t>
      </w:r>
      <w:proofErr w:type="spellEnd"/>
      <w:r w:rsidRPr="00AA4610">
        <w:rPr>
          <w:rFonts w:ascii="inherit" w:eastAsia="Times New Roman" w:hAnsi="inherit" w:cs="Helvetica"/>
          <w:color w:val="262626"/>
          <w:sz w:val="21"/>
          <w:szCs w:val="21"/>
          <w:lang w:eastAsia="es-ES"/>
        </w:rPr>
        <w:t xml:space="preserve"> ha sido llevado a segundos para elaborar los cálculos del tiempo que necesitaría una persona para obtener el ingreso mensual promedio per cápita de un multimillonario de cada país.</w:t>
      </w:r>
    </w:p>
    <w:p w:rsidR="00AA4610" w:rsidRPr="00AA4610" w:rsidRDefault="00AA4610" w:rsidP="00AA4610">
      <w:pPr>
        <w:shd w:val="clear" w:color="auto" w:fill="FFFFFF"/>
        <w:spacing w:before="100" w:beforeAutospacing="1" w:after="10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Para calcular el tiempo promedio que le tomaría a una persona del grupo 10 alcanzar el ingreso de un multimillonario promedio, hemos utilizado el ingreso promedio mensual per cápita provisto por la </w:t>
      </w:r>
      <w:proofErr w:type="spellStart"/>
      <w:r w:rsidRPr="00AA4610">
        <w:rPr>
          <w:rFonts w:ascii="inherit" w:eastAsia="Times New Roman" w:hAnsi="inherit" w:cs="Helvetica"/>
          <w:color w:val="262626"/>
          <w:sz w:val="21"/>
          <w:szCs w:val="21"/>
          <w:lang w:eastAsia="es-ES"/>
        </w:rPr>
        <w:t>Cepal</w:t>
      </w:r>
      <w:proofErr w:type="spellEnd"/>
      <w:r w:rsidRPr="00AA4610">
        <w:rPr>
          <w:rFonts w:ascii="inherit" w:eastAsia="Times New Roman" w:hAnsi="inherit" w:cs="Helvetica"/>
          <w:color w:val="262626"/>
          <w:sz w:val="21"/>
          <w:szCs w:val="21"/>
          <w:lang w:eastAsia="es-ES"/>
        </w:rPr>
        <w:t>.</w:t>
      </w:r>
    </w:p>
    <w:p w:rsidR="00AA4610" w:rsidRPr="00AA4610" w:rsidRDefault="00AA4610" w:rsidP="00AA4610">
      <w:pPr>
        <w:numPr>
          <w:ilvl w:val="0"/>
          <w:numId w:val="5"/>
        </w:numPr>
        <w:shd w:val="clear" w:color="auto" w:fill="FFFFFF"/>
        <w:spacing w:after="0"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Todos los porcentajes y estimaciones numéricas han sido redondeados para una mejor comprensión.</w:t>
      </w:r>
    </w:p>
    <w:p w:rsidR="00AA4610" w:rsidRPr="00AA4610" w:rsidRDefault="00AA4610" w:rsidP="00AA4610">
      <w:pPr>
        <w:numPr>
          <w:ilvl w:val="0"/>
          <w:numId w:val="5"/>
        </w:numPr>
        <w:shd w:val="clear" w:color="auto" w:fill="FFFFFF"/>
        <w:spacing w:after="0"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lastRenderedPageBreak/>
        <w:t xml:space="preserve">La fuente de información sobre la pobreza multidimensional corresponde a </w:t>
      </w:r>
      <w:proofErr w:type="spellStart"/>
      <w:r w:rsidRPr="00AA4610">
        <w:rPr>
          <w:rFonts w:ascii="inherit" w:eastAsia="Times New Roman" w:hAnsi="inherit" w:cs="Helvetica"/>
          <w:color w:val="262626"/>
          <w:sz w:val="21"/>
          <w:szCs w:val="21"/>
          <w:lang w:eastAsia="es-ES"/>
        </w:rPr>
        <w:t>Cepal</w:t>
      </w:r>
      <w:proofErr w:type="spellEnd"/>
      <w:r w:rsidRPr="00AA4610">
        <w:rPr>
          <w:rFonts w:ascii="inherit" w:eastAsia="Times New Roman" w:hAnsi="inherit" w:cs="Helvetica"/>
          <w:color w:val="262626"/>
          <w:sz w:val="21"/>
          <w:szCs w:val="21"/>
          <w:lang w:eastAsia="es-ES"/>
        </w:rPr>
        <w:t xml:space="preserve"> en su Panorama Social 2014 en la página 84 y son datos del año 2012.</w:t>
      </w:r>
    </w:p>
    <w:p w:rsidR="00AA4610" w:rsidRPr="00AA4610" w:rsidRDefault="00AA4610" w:rsidP="00AA4610">
      <w:pPr>
        <w:numPr>
          <w:ilvl w:val="0"/>
          <w:numId w:val="5"/>
        </w:numPr>
        <w:shd w:val="clear" w:color="auto" w:fill="FFFFFF"/>
        <w:spacing w:after="0"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Para calcular el número de veces que el ingreso promedio per cápita de los multimillonarios multiplica el ingreso promedio del 20% más pobre, se dividió el ingreso promedio per cápita anual de los multimillonarios de cada país y se dividió entre el ingreso promedio per cápita del 20% más pobre. El ingreso per cápita del 1er. quintil se calculó dividiendo el monto del ingreso nacional bruto disponible ajustado de 2013 que le corresponde al quintil más pobre (sobre la base de la distribución porcentual del ingreso nacional total 2013, según la </w:t>
      </w:r>
      <w:proofErr w:type="spellStart"/>
      <w:r w:rsidRPr="00AA4610">
        <w:rPr>
          <w:rFonts w:ascii="inherit" w:eastAsia="Times New Roman" w:hAnsi="inherit" w:cs="Helvetica"/>
          <w:color w:val="262626"/>
          <w:sz w:val="21"/>
          <w:szCs w:val="21"/>
          <w:lang w:eastAsia="es-ES"/>
        </w:rPr>
        <w:t>Cepal</w:t>
      </w:r>
      <w:proofErr w:type="spellEnd"/>
      <w:r w:rsidRPr="00AA4610">
        <w:rPr>
          <w:rFonts w:ascii="inherit" w:eastAsia="Times New Roman" w:hAnsi="inherit" w:cs="Helvetica"/>
          <w:color w:val="262626"/>
          <w:sz w:val="21"/>
          <w:szCs w:val="21"/>
          <w:lang w:eastAsia="es-ES"/>
        </w:rPr>
        <w:t>) entre el 20% de la población de cada país para el mismo año (</w:t>
      </w:r>
      <w:proofErr w:type="spellStart"/>
      <w:r w:rsidRPr="00AA4610">
        <w:rPr>
          <w:rFonts w:ascii="inherit" w:eastAsia="Times New Roman" w:hAnsi="inherit" w:cs="Helvetica"/>
          <w:color w:val="262626"/>
          <w:sz w:val="21"/>
          <w:szCs w:val="21"/>
          <w:lang w:eastAsia="es-ES"/>
        </w:rPr>
        <w:t>Cepal</w:t>
      </w:r>
      <w:proofErr w:type="spellEnd"/>
      <w:r w:rsidRPr="00AA4610">
        <w:rPr>
          <w:rFonts w:ascii="inherit" w:eastAsia="Times New Roman" w:hAnsi="inherit" w:cs="Helvetica"/>
          <w:color w:val="262626"/>
          <w:sz w:val="21"/>
          <w:szCs w:val="21"/>
          <w:lang w:eastAsia="es-ES"/>
        </w:rPr>
        <w:t>).</w:t>
      </w:r>
    </w:p>
    <w:p w:rsidR="00AA4610" w:rsidRPr="00AA4610" w:rsidRDefault="00AA4610" w:rsidP="00AA4610">
      <w:pPr>
        <w:numPr>
          <w:ilvl w:val="0"/>
          <w:numId w:val="5"/>
        </w:numPr>
        <w:shd w:val="clear" w:color="auto" w:fill="FFFFFF"/>
        <w:spacing w:after="0"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La Calculadora de la desigualdad no solicita ni registra datos personales de las personas ni direcciones IP desde donde se accede.</w:t>
      </w:r>
    </w:p>
    <w:p w:rsidR="00AA4610" w:rsidRPr="00AA4610" w:rsidRDefault="00AA4610" w:rsidP="00AA4610">
      <w:pPr>
        <w:shd w:val="clear" w:color="auto" w:fill="FFFFFF"/>
        <w:spacing w:beforeAutospacing="1" w:after="0" w:afterAutospacing="1"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La Calculadora de la Desigualdad está inspirada en una </w:t>
      </w:r>
      <w:hyperlink r:id="rId11" w:tgtFrame="_blank" w:history="1">
        <w:r w:rsidRPr="00AA4610">
          <w:rPr>
            <w:rFonts w:ascii="inherit" w:eastAsia="Times New Roman" w:hAnsi="inherit" w:cs="Helvetica"/>
            <w:b/>
            <w:bCs/>
            <w:color w:val="A10F15"/>
            <w:sz w:val="21"/>
            <w:lang w:eastAsia="es-ES"/>
          </w:rPr>
          <w:t>aplicación de la BBC </w:t>
        </w:r>
      </w:hyperlink>
      <w:r w:rsidRPr="00AA4610">
        <w:rPr>
          <w:rFonts w:ascii="inherit" w:eastAsia="Times New Roman" w:hAnsi="inherit" w:cs="Helvetica"/>
          <w:color w:val="262626"/>
          <w:sz w:val="21"/>
          <w:szCs w:val="21"/>
          <w:lang w:eastAsia="es-ES"/>
        </w:rPr>
        <w:t>que contrasta el sueldo promedio de una persona con los gigantes ingresos de los principales jugadores de fútbol del mundo y en la </w:t>
      </w:r>
      <w:hyperlink r:id="rId12" w:tgtFrame="_blank" w:history="1">
        <w:r w:rsidRPr="00AA4610">
          <w:rPr>
            <w:rFonts w:ascii="inherit" w:eastAsia="Times New Roman" w:hAnsi="inherit" w:cs="Helvetica"/>
            <w:b/>
            <w:bCs/>
            <w:color w:val="A10F15"/>
            <w:sz w:val="21"/>
            <w:lang w:eastAsia="es-ES"/>
          </w:rPr>
          <w:t>desarrollada por la OCDE</w:t>
        </w:r>
      </w:hyperlink>
      <w:r w:rsidRPr="00AA4610">
        <w:rPr>
          <w:rFonts w:ascii="inherit" w:eastAsia="Times New Roman" w:hAnsi="inherit" w:cs="Helvetica"/>
          <w:color w:val="262626"/>
          <w:sz w:val="21"/>
          <w:szCs w:val="21"/>
          <w:lang w:eastAsia="es-ES"/>
        </w:rPr>
        <w:t> para comparar ingresos.</w:t>
      </w:r>
    </w:p>
    <w:p w:rsidR="00AA4610" w:rsidRPr="00AA4610" w:rsidRDefault="00AA4610" w:rsidP="00AA4610">
      <w:pPr>
        <w:numPr>
          <w:ilvl w:val="0"/>
          <w:numId w:val="6"/>
        </w:numPr>
        <w:shd w:val="clear" w:color="auto" w:fill="FFFFFF"/>
        <w:spacing w:after="0" w:line="336" w:lineRule="atLeast"/>
        <w:jc w:val="both"/>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Puedes descargar </w:t>
      </w:r>
      <w:hyperlink r:id="rId13" w:tgtFrame="_blank" w:history="1">
        <w:r w:rsidRPr="00AA4610">
          <w:rPr>
            <w:rFonts w:ascii="inherit" w:eastAsia="Times New Roman" w:hAnsi="inherit" w:cs="Helvetica"/>
            <w:b/>
            <w:bCs/>
            <w:color w:val="A10F15"/>
            <w:sz w:val="21"/>
            <w:lang w:eastAsia="es-ES"/>
          </w:rPr>
          <w:t>aquí </w:t>
        </w:r>
      </w:hyperlink>
      <w:r w:rsidRPr="00AA4610">
        <w:rPr>
          <w:rFonts w:ascii="inherit" w:eastAsia="Times New Roman" w:hAnsi="inherit" w:cs="Helvetica"/>
          <w:color w:val="262626"/>
          <w:sz w:val="21"/>
          <w:szCs w:val="21"/>
          <w:lang w:eastAsia="es-ES"/>
        </w:rPr>
        <w:t xml:space="preserve">los rangos de cada uno de los </w:t>
      </w:r>
      <w:proofErr w:type="spellStart"/>
      <w:r w:rsidRPr="00AA4610">
        <w:rPr>
          <w:rFonts w:ascii="inherit" w:eastAsia="Times New Roman" w:hAnsi="inherit" w:cs="Helvetica"/>
          <w:color w:val="262626"/>
          <w:sz w:val="21"/>
          <w:szCs w:val="21"/>
          <w:lang w:eastAsia="es-ES"/>
        </w:rPr>
        <w:t>deciles</w:t>
      </w:r>
      <w:proofErr w:type="spellEnd"/>
      <w:r w:rsidRPr="00AA4610">
        <w:rPr>
          <w:rFonts w:ascii="inherit" w:eastAsia="Times New Roman" w:hAnsi="inherit" w:cs="Helvetica"/>
          <w:color w:val="262626"/>
          <w:sz w:val="21"/>
          <w:szCs w:val="21"/>
          <w:lang w:eastAsia="es-ES"/>
        </w:rPr>
        <w:t xml:space="preserve"> que se usaron para los grupos de la Calculadora de la desigualdad, en base a información de </w:t>
      </w:r>
      <w:proofErr w:type="spellStart"/>
      <w:r w:rsidRPr="00AA4610">
        <w:rPr>
          <w:rFonts w:ascii="inherit" w:eastAsia="Times New Roman" w:hAnsi="inherit" w:cs="Helvetica"/>
          <w:color w:val="262626"/>
          <w:sz w:val="21"/>
          <w:szCs w:val="21"/>
          <w:lang w:eastAsia="es-ES"/>
        </w:rPr>
        <w:t>Cepal</w:t>
      </w:r>
      <w:proofErr w:type="spellEnd"/>
      <w:r w:rsidRPr="00AA4610">
        <w:rPr>
          <w:rFonts w:ascii="inherit" w:eastAsia="Times New Roman" w:hAnsi="inherit" w:cs="Helvetica"/>
          <w:color w:val="262626"/>
          <w:sz w:val="21"/>
          <w:szCs w:val="21"/>
          <w:lang w:eastAsia="es-ES"/>
        </w:rPr>
        <w:t>.</w:t>
      </w:r>
    </w:p>
    <w:p w:rsidR="00AA4610" w:rsidRPr="00AA4610" w:rsidRDefault="00AA4610" w:rsidP="00AA4610">
      <w:pPr>
        <w:shd w:val="clear" w:color="auto" w:fill="FFFFFF"/>
        <w:spacing w:before="100" w:beforeAutospacing="1" w:after="100" w:afterAutospacing="1"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b/>
          <w:bCs/>
          <w:color w:val="262626"/>
          <w:sz w:val="21"/>
          <w:lang w:eastAsia="es-ES"/>
        </w:rPr>
        <w:t>Fuentes:</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hyperlink r:id="rId14" w:tgtFrame="_blank" w:history="1">
        <w:proofErr w:type="spellStart"/>
        <w:r w:rsidRPr="00AA4610">
          <w:rPr>
            <w:rFonts w:ascii="inherit" w:eastAsia="Times New Roman" w:hAnsi="inherit" w:cs="Helvetica"/>
            <w:b/>
            <w:bCs/>
            <w:color w:val="A10F15"/>
            <w:sz w:val="21"/>
            <w:lang w:eastAsia="es-ES"/>
          </w:rPr>
          <w:t>Credit</w:t>
        </w:r>
        <w:proofErr w:type="spellEnd"/>
        <w:r w:rsidRPr="00AA4610">
          <w:rPr>
            <w:rFonts w:ascii="inherit" w:eastAsia="Times New Roman" w:hAnsi="inherit" w:cs="Helvetica"/>
            <w:b/>
            <w:bCs/>
            <w:color w:val="A10F15"/>
            <w:sz w:val="21"/>
            <w:lang w:eastAsia="es-ES"/>
          </w:rPr>
          <w:t xml:space="preserve"> </w:t>
        </w:r>
        <w:proofErr w:type="spellStart"/>
        <w:r w:rsidRPr="00AA4610">
          <w:rPr>
            <w:rFonts w:ascii="inherit" w:eastAsia="Times New Roman" w:hAnsi="inherit" w:cs="Helvetica"/>
            <w:b/>
            <w:bCs/>
            <w:color w:val="A10F15"/>
            <w:sz w:val="21"/>
            <w:lang w:eastAsia="es-ES"/>
          </w:rPr>
          <w:t>Suisse</w:t>
        </w:r>
        <w:proofErr w:type="spellEnd"/>
        <w:r w:rsidRPr="00AA4610">
          <w:rPr>
            <w:rFonts w:ascii="inherit" w:eastAsia="Times New Roman" w:hAnsi="inherit" w:cs="Helvetica"/>
            <w:b/>
            <w:bCs/>
            <w:color w:val="A10F15"/>
            <w:sz w:val="21"/>
            <w:lang w:eastAsia="es-ES"/>
          </w:rPr>
          <w:t xml:space="preserve"> Global </w:t>
        </w:r>
        <w:proofErr w:type="spellStart"/>
        <w:r w:rsidRPr="00AA4610">
          <w:rPr>
            <w:rFonts w:ascii="inherit" w:eastAsia="Times New Roman" w:hAnsi="inherit" w:cs="Helvetica"/>
            <w:b/>
            <w:bCs/>
            <w:color w:val="A10F15"/>
            <w:sz w:val="21"/>
            <w:lang w:eastAsia="es-ES"/>
          </w:rPr>
          <w:t>Investment</w:t>
        </w:r>
        <w:proofErr w:type="spellEnd"/>
        <w:r w:rsidRPr="00AA4610">
          <w:rPr>
            <w:rFonts w:ascii="inherit" w:eastAsia="Times New Roman" w:hAnsi="inherit" w:cs="Helvetica"/>
            <w:b/>
            <w:bCs/>
            <w:color w:val="A10F15"/>
            <w:sz w:val="21"/>
            <w:lang w:eastAsia="es-ES"/>
          </w:rPr>
          <w:t xml:space="preserve"> </w:t>
        </w:r>
        <w:proofErr w:type="spellStart"/>
        <w:r w:rsidRPr="00AA4610">
          <w:rPr>
            <w:rFonts w:ascii="inherit" w:eastAsia="Times New Roman" w:hAnsi="inherit" w:cs="Helvetica"/>
            <w:b/>
            <w:bCs/>
            <w:color w:val="A10F15"/>
            <w:sz w:val="21"/>
            <w:lang w:eastAsia="es-ES"/>
          </w:rPr>
          <w:t>Returns</w:t>
        </w:r>
        <w:proofErr w:type="spellEnd"/>
        <w:r w:rsidRPr="00AA4610">
          <w:rPr>
            <w:rFonts w:ascii="inherit" w:eastAsia="Times New Roman" w:hAnsi="inherit" w:cs="Helvetica"/>
            <w:b/>
            <w:bCs/>
            <w:color w:val="A10F15"/>
            <w:sz w:val="21"/>
            <w:lang w:eastAsia="es-ES"/>
          </w:rPr>
          <w:t xml:space="preserve"> </w:t>
        </w:r>
        <w:proofErr w:type="spellStart"/>
        <w:r w:rsidRPr="00AA4610">
          <w:rPr>
            <w:rFonts w:ascii="inherit" w:eastAsia="Times New Roman" w:hAnsi="inherit" w:cs="Helvetica"/>
            <w:b/>
            <w:bCs/>
            <w:color w:val="A10F15"/>
            <w:sz w:val="21"/>
            <w:lang w:eastAsia="es-ES"/>
          </w:rPr>
          <w:t>Yearbook</w:t>
        </w:r>
        <w:proofErr w:type="spellEnd"/>
        <w:r w:rsidRPr="00AA4610">
          <w:rPr>
            <w:rFonts w:ascii="inherit" w:eastAsia="Times New Roman" w:hAnsi="inherit" w:cs="Helvetica"/>
            <w:b/>
            <w:bCs/>
            <w:color w:val="A10F15"/>
            <w:sz w:val="21"/>
            <w:lang w:eastAsia="es-ES"/>
          </w:rPr>
          <w:t xml:space="preserve"> 2013</w:t>
        </w:r>
      </w:hyperlink>
      <w:r w:rsidRPr="00AA4610">
        <w:rPr>
          <w:rFonts w:ascii="inherit" w:eastAsia="Times New Roman" w:hAnsi="inherit" w:cs="Helvetica"/>
          <w:color w:val="262626"/>
          <w:sz w:val="21"/>
          <w:szCs w:val="21"/>
          <w:u w:val="single"/>
          <w:bdr w:val="none" w:sz="0" w:space="0" w:color="auto" w:frame="1"/>
          <w:lang w:eastAsia="es-ES"/>
        </w:rPr>
        <w:t>.</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Tasa de inflación EE.UU. 2014: </w:t>
      </w:r>
      <w:hyperlink r:id="rId15" w:tgtFrame="_blank" w:history="1">
        <w:r w:rsidRPr="00AA4610">
          <w:rPr>
            <w:rFonts w:ascii="inherit" w:eastAsia="Times New Roman" w:hAnsi="inherit" w:cs="Helvetica"/>
            <w:b/>
            <w:bCs/>
            <w:color w:val="A10F15"/>
            <w:sz w:val="21"/>
            <w:lang w:eastAsia="es-ES"/>
          </w:rPr>
          <w:t>Datos del Banco Mundial</w:t>
        </w:r>
      </w:hyperlink>
      <w:r w:rsidRPr="00AA4610">
        <w:rPr>
          <w:rFonts w:ascii="inherit" w:eastAsia="Times New Roman" w:hAnsi="inherit" w:cs="Helvetica"/>
          <w:color w:val="262626"/>
          <w:sz w:val="21"/>
          <w:szCs w:val="21"/>
          <w:lang w:eastAsia="es-ES"/>
        </w:rPr>
        <w:t> (consultada el 18 de agosto de 2015).</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proofErr w:type="spellStart"/>
      <w:r w:rsidRPr="00AA4610">
        <w:rPr>
          <w:rFonts w:ascii="inherit" w:eastAsia="Times New Roman" w:hAnsi="inherit" w:cs="Helvetica"/>
          <w:color w:val="262626"/>
          <w:sz w:val="21"/>
          <w:szCs w:val="21"/>
          <w:lang w:eastAsia="es-ES"/>
        </w:rPr>
        <w:t>World</w:t>
      </w:r>
      <w:proofErr w:type="spellEnd"/>
      <w:r w:rsidRPr="00AA4610">
        <w:rPr>
          <w:rFonts w:ascii="inherit" w:eastAsia="Times New Roman" w:hAnsi="inherit" w:cs="Helvetica"/>
          <w:color w:val="262626"/>
          <w:sz w:val="21"/>
          <w:szCs w:val="21"/>
          <w:lang w:eastAsia="es-ES"/>
        </w:rPr>
        <w:t xml:space="preserve"> Ultra </w:t>
      </w:r>
      <w:proofErr w:type="spellStart"/>
      <w:r w:rsidRPr="00AA4610">
        <w:rPr>
          <w:rFonts w:ascii="inherit" w:eastAsia="Times New Roman" w:hAnsi="inherit" w:cs="Helvetica"/>
          <w:color w:val="262626"/>
          <w:sz w:val="21"/>
          <w:szCs w:val="21"/>
          <w:lang w:eastAsia="es-ES"/>
        </w:rPr>
        <w:t>Wealth</w:t>
      </w:r>
      <w:proofErr w:type="spellEnd"/>
      <w:r w:rsidRPr="00AA4610">
        <w:rPr>
          <w:rFonts w:ascii="inherit" w:eastAsia="Times New Roman" w:hAnsi="inherit" w:cs="Helvetica"/>
          <w:color w:val="262626"/>
          <w:sz w:val="21"/>
          <w:szCs w:val="21"/>
          <w:lang w:eastAsia="es-ES"/>
        </w:rPr>
        <w:t xml:space="preserve"> </w:t>
      </w:r>
      <w:proofErr w:type="spellStart"/>
      <w:r w:rsidRPr="00AA4610">
        <w:rPr>
          <w:rFonts w:ascii="inherit" w:eastAsia="Times New Roman" w:hAnsi="inherit" w:cs="Helvetica"/>
          <w:color w:val="262626"/>
          <w:sz w:val="21"/>
          <w:szCs w:val="21"/>
          <w:lang w:eastAsia="es-ES"/>
        </w:rPr>
        <w:t>Report</w:t>
      </w:r>
      <w:proofErr w:type="spellEnd"/>
      <w:r w:rsidRPr="00AA4610">
        <w:rPr>
          <w:rFonts w:ascii="inherit" w:eastAsia="Times New Roman" w:hAnsi="inherit" w:cs="Helvetica"/>
          <w:color w:val="262626"/>
          <w:sz w:val="21"/>
          <w:szCs w:val="21"/>
          <w:lang w:eastAsia="es-ES"/>
        </w:rPr>
        <w:t xml:space="preserve"> 2014.</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División de Estadísticas de CEPAL a solicitud de OXFAM.</w:t>
      </w:r>
    </w:p>
    <w:p w:rsidR="00AA4610" w:rsidRPr="00AA4610" w:rsidRDefault="00AA4610" w:rsidP="00AA4610">
      <w:pPr>
        <w:shd w:val="clear" w:color="auto" w:fill="FFFFFF"/>
        <w:spacing w:before="100" w:beforeAutospacing="1" w:after="100" w:afterAutospacing="1"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b/>
          <w:bCs/>
          <w:color w:val="262626"/>
          <w:sz w:val="21"/>
          <w:lang w:eastAsia="es-ES"/>
        </w:rPr>
        <w:t>Créditos:</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Coordinación: Nelly Luna Amancio</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Desarrollo y cálculos: Jorge Miranda / </w:t>
      </w:r>
      <w:proofErr w:type="spellStart"/>
      <w:r w:rsidRPr="00AA4610">
        <w:rPr>
          <w:rFonts w:ascii="inherit" w:eastAsia="Times New Roman" w:hAnsi="inherit" w:cs="Helvetica"/>
          <w:color w:val="262626"/>
          <w:sz w:val="21"/>
          <w:szCs w:val="21"/>
          <w:lang w:eastAsia="es-ES"/>
        </w:rPr>
        <w:t>Jason</w:t>
      </w:r>
      <w:proofErr w:type="spellEnd"/>
      <w:r w:rsidRPr="00AA4610">
        <w:rPr>
          <w:rFonts w:ascii="inherit" w:eastAsia="Times New Roman" w:hAnsi="inherit" w:cs="Helvetica"/>
          <w:color w:val="262626"/>
          <w:sz w:val="21"/>
          <w:szCs w:val="21"/>
          <w:lang w:eastAsia="es-ES"/>
        </w:rPr>
        <w:t xml:space="preserve"> Martínez</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Ilustraciones: Víctor Aguilar</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Bases de datos:</w:t>
      </w:r>
      <w:proofErr w:type="gramStart"/>
      <w:r w:rsidRPr="00AA4610">
        <w:rPr>
          <w:rFonts w:ascii="inherit" w:eastAsia="Times New Roman" w:hAnsi="inherit" w:cs="Helvetica"/>
          <w:color w:val="262626"/>
          <w:sz w:val="21"/>
          <w:szCs w:val="21"/>
          <w:lang w:eastAsia="es-ES"/>
        </w:rPr>
        <w:t>  Datos</w:t>
      </w:r>
      <w:proofErr w:type="gramEnd"/>
      <w:r w:rsidRPr="00AA4610">
        <w:rPr>
          <w:rFonts w:ascii="inherit" w:eastAsia="Times New Roman" w:hAnsi="inherit" w:cs="Helvetica"/>
          <w:color w:val="262626"/>
          <w:sz w:val="21"/>
          <w:szCs w:val="21"/>
          <w:lang w:eastAsia="es-ES"/>
        </w:rPr>
        <w:t xml:space="preserve"> ingresos </w:t>
      </w:r>
      <w:proofErr w:type="spellStart"/>
      <w:r w:rsidRPr="00AA4610">
        <w:rPr>
          <w:rFonts w:ascii="inherit" w:eastAsia="Times New Roman" w:hAnsi="inherit" w:cs="Helvetica"/>
          <w:color w:val="262626"/>
          <w:sz w:val="21"/>
          <w:szCs w:val="21"/>
          <w:lang w:eastAsia="es-ES"/>
        </w:rPr>
        <w:t>deciles</w:t>
      </w:r>
      <w:proofErr w:type="spellEnd"/>
      <w:r w:rsidRPr="00AA4610">
        <w:rPr>
          <w:rFonts w:ascii="inherit" w:eastAsia="Times New Roman" w:hAnsi="inherit" w:cs="Helvetica"/>
          <w:color w:val="262626"/>
          <w:sz w:val="21"/>
          <w:szCs w:val="21"/>
          <w:lang w:eastAsia="es-ES"/>
        </w:rPr>
        <w:t xml:space="preserve"> 1-10 por país: CEPAL.</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Datos multimillonarios por país elaborado por </w:t>
      </w:r>
      <w:proofErr w:type="spellStart"/>
      <w:r w:rsidRPr="00AA4610">
        <w:rPr>
          <w:rFonts w:ascii="inherit" w:eastAsia="Times New Roman" w:hAnsi="inherit" w:cs="Helvetica"/>
          <w:color w:val="262626"/>
          <w:sz w:val="21"/>
          <w:szCs w:val="21"/>
          <w:lang w:eastAsia="es-ES"/>
        </w:rPr>
        <w:t>Oxfam</w:t>
      </w:r>
      <w:proofErr w:type="spellEnd"/>
      <w:r w:rsidRPr="00AA4610">
        <w:rPr>
          <w:rFonts w:ascii="inherit" w:eastAsia="Times New Roman" w:hAnsi="inherit" w:cs="Helvetica"/>
          <w:color w:val="262626"/>
          <w:sz w:val="21"/>
          <w:szCs w:val="21"/>
          <w:lang w:eastAsia="es-ES"/>
        </w:rPr>
        <w:t xml:space="preserve"> para el informe “Privilegios que niegan derechos: Desigualdad extrema y secuestro de la democracia en América Latina y el Caribe” en base al </w:t>
      </w:r>
      <w:proofErr w:type="spellStart"/>
      <w:r w:rsidRPr="00AA4610">
        <w:rPr>
          <w:rFonts w:ascii="inherit" w:eastAsia="Times New Roman" w:hAnsi="inherit" w:cs="Helvetica"/>
          <w:color w:val="262626"/>
          <w:sz w:val="21"/>
          <w:szCs w:val="21"/>
          <w:lang w:eastAsia="es-ES"/>
        </w:rPr>
        <w:fldChar w:fldCharType="begin"/>
      </w:r>
      <w:r w:rsidRPr="00AA4610">
        <w:rPr>
          <w:rFonts w:ascii="inherit" w:eastAsia="Times New Roman" w:hAnsi="inherit" w:cs="Helvetica"/>
          <w:color w:val="262626"/>
          <w:sz w:val="21"/>
          <w:szCs w:val="21"/>
          <w:lang w:eastAsia="es-ES"/>
        </w:rPr>
        <w:instrText xml:space="preserve"> HYPERLINK "http://www.worldultrawealthreport.com/?file=dl" \t "_blank" </w:instrText>
      </w:r>
      <w:r w:rsidRPr="00AA4610">
        <w:rPr>
          <w:rFonts w:ascii="inherit" w:eastAsia="Times New Roman" w:hAnsi="inherit" w:cs="Helvetica"/>
          <w:color w:val="262626"/>
          <w:sz w:val="21"/>
          <w:szCs w:val="21"/>
          <w:lang w:eastAsia="es-ES"/>
        </w:rPr>
        <w:fldChar w:fldCharType="separate"/>
      </w:r>
      <w:r w:rsidRPr="00AA4610">
        <w:rPr>
          <w:rFonts w:ascii="inherit" w:eastAsia="Times New Roman" w:hAnsi="inherit" w:cs="Helvetica"/>
          <w:b/>
          <w:bCs/>
          <w:color w:val="A10F15"/>
          <w:sz w:val="21"/>
          <w:lang w:eastAsia="es-ES"/>
        </w:rPr>
        <w:t>World</w:t>
      </w:r>
      <w:proofErr w:type="spellEnd"/>
      <w:r w:rsidRPr="00AA4610">
        <w:rPr>
          <w:rFonts w:ascii="inherit" w:eastAsia="Times New Roman" w:hAnsi="inherit" w:cs="Helvetica"/>
          <w:b/>
          <w:bCs/>
          <w:color w:val="A10F15"/>
          <w:sz w:val="21"/>
          <w:lang w:eastAsia="es-ES"/>
        </w:rPr>
        <w:t xml:space="preserve"> Ultra </w:t>
      </w:r>
      <w:proofErr w:type="spellStart"/>
      <w:r w:rsidRPr="00AA4610">
        <w:rPr>
          <w:rFonts w:ascii="inherit" w:eastAsia="Times New Roman" w:hAnsi="inherit" w:cs="Helvetica"/>
          <w:b/>
          <w:bCs/>
          <w:color w:val="A10F15"/>
          <w:sz w:val="21"/>
          <w:lang w:eastAsia="es-ES"/>
        </w:rPr>
        <w:t>Wealth</w:t>
      </w:r>
      <w:proofErr w:type="spellEnd"/>
      <w:r w:rsidRPr="00AA4610">
        <w:rPr>
          <w:rFonts w:ascii="inherit" w:eastAsia="Times New Roman" w:hAnsi="inherit" w:cs="Helvetica"/>
          <w:b/>
          <w:bCs/>
          <w:color w:val="A10F15"/>
          <w:sz w:val="21"/>
          <w:lang w:eastAsia="es-ES"/>
        </w:rPr>
        <w:t xml:space="preserve"> </w:t>
      </w:r>
      <w:proofErr w:type="spellStart"/>
      <w:r w:rsidRPr="00AA4610">
        <w:rPr>
          <w:rFonts w:ascii="inherit" w:eastAsia="Times New Roman" w:hAnsi="inherit" w:cs="Helvetica"/>
          <w:b/>
          <w:bCs/>
          <w:color w:val="A10F15"/>
          <w:sz w:val="21"/>
          <w:lang w:eastAsia="es-ES"/>
        </w:rPr>
        <w:t>Report</w:t>
      </w:r>
      <w:proofErr w:type="spellEnd"/>
      <w:r w:rsidRPr="00AA4610">
        <w:rPr>
          <w:rFonts w:ascii="inherit" w:eastAsia="Times New Roman" w:hAnsi="inherit" w:cs="Helvetica"/>
          <w:b/>
          <w:bCs/>
          <w:color w:val="A10F15"/>
          <w:sz w:val="21"/>
          <w:lang w:eastAsia="es-ES"/>
        </w:rPr>
        <w:t xml:space="preserve"> 2014</w:t>
      </w:r>
      <w:r w:rsidRPr="00AA4610">
        <w:rPr>
          <w:rFonts w:ascii="inherit" w:eastAsia="Times New Roman" w:hAnsi="inherit" w:cs="Helvetica"/>
          <w:color w:val="262626"/>
          <w:sz w:val="21"/>
          <w:szCs w:val="21"/>
          <w:lang w:eastAsia="es-ES"/>
        </w:rPr>
        <w:fldChar w:fldCharType="end"/>
      </w:r>
      <w:r w:rsidRPr="00AA4610">
        <w:rPr>
          <w:rFonts w:ascii="inherit" w:eastAsia="Times New Roman" w:hAnsi="inherit" w:cs="Helvetica"/>
          <w:color w:val="262626"/>
          <w:sz w:val="21"/>
          <w:szCs w:val="21"/>
          <w:u w:val="single"/>
          <w:bdr w:val="none" w:sz="0" w:space="0" w:color="auto" w:frame="1"/>
          <w:lang w:eastAsia="es-ES"/>
        </w:rPr>
        <w:t>.</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Metodología: Rosa Cañete Alonso.</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Apoyo estadístico para estos cálculos: Airón Fernández.</w:t>
      </w:r>
    </w:p>
    <w:p w:rsidR="00AA4610" w:rsidRPr="00AA4610" w:rsidRDefault="00AA4610" w:rsidP="00AA4610">
      <w:pPr>
        <w:shd w:val="clear" w:color="auto" w:fill="FFFFFF"/>
        <w:spacing w:after="0"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xml:space="preserve">Equipo de comunicación y campaña pública de </w:t>
      </w:r>
      <w:proofErr w:type="spellStart"/>
      <w:r w:rsidRPr="00AA4610">
        <w:rPr>
          <w:rFonts w:ascii="inherit" w:eastAsia="Times New Roman" w:hAnsi="inherit" w:cs="Helvetica"/>
          <w:color w:val="262626"/>
          <w:sz w:val="21"/>
          <w:szCs w:val="21"/>
          <w:lang w:eastAsia="es-ES"/>
        </w:rPr>
        <w:t>Oxfam</w:t>
      </w:r>
      <w:proofErr w:type="spellEnd"/>
      <w:r w:rsidRPr="00AA4610">
        <w:rPr>
          <w:rFonts w:ascii="inherit" w:eastAsia="Times New Roman" w:hAnsi="inherit" w:cs="Helvetica"/>
          <w:color w:val="262626"/>
          <w:sz w:val="21"/>
          <w:szCs w:val="21"/>
          <w:lang w:eastAsia="es-ES"/>
        </w:rPr>
        <w:t xml:space="preserve">: Pablo Andrés Rivero, </w:t>
      </w:r>
      <w:proofErr w:type="spellStart"/>
      <w:r w:rsidRPr="00AA4610">
        <w:rPr>
          <w:rFonts w:ascii="inherit" w:eastAsia="Times New Roman" w:hAnsi="inherit" w:cs="Helvetica"/>
          <w:color w:val="262626"/>
          <w:sz w:val="21"/>
          <w:szCs w:val="21"/>
          <w:lang w:eastAsia="es-ES"/>
        </w:rPr>
        <w:t>Tanya</w:t>
      </w:r>
      <w:proofErr w:type="spellEnd"/>
      <w:r w:rsidRPr="00AA4610">
        <w:rPr>
          <w:rFonts w:ascii="inherit" w:eastAsia="Times New Roman" w:hAnsi="inherit" w:cs="Helvetica"/>
          <w:color w:val="262626"/>
          <w:sz w:val="21"/>
          <w:szCs w:val="21"/>
          <w:lang w:eastAsia="es-ES"/>
        </w:rPr>
        <w:t xml:space="preserve"> Escamilla.</w:t>
      </w:r>
    </w:p>
    <w:p w:rsidR="00AA4610" w:rsidRPr="00AA4610" w:rsidRDefault="00AA4610" w:rsidP="00AA4610">
      <w:pPr>
        <w:shd w:val="clear" w:color="auto" w:fill="FFFFFF"/>
        <w:spacing w:before="100" w:beforeAutospacing="1" w:after="100" w:afterAutospacing="1" w:line="336" w:lineRule="atLeast"/>
        <w:textAlignment w:val="baseline"/>
        <w:rPr>
          <w:rFonts w:ascii="inherit" w:eastAsia="Times New Roman" w:hAnsi="inherit" w:cs="Helvetica"/>
          <w:color w:val="262626"/>
          <w:sz w:val="21"/>
          <w:szCs w:val="21"/>
          <w:lang w:eastAsia="es-ES"/>
        </w:rPr>
      </w:pPr>
      <w:r w:rsidRPr="00AA4610">
        <w:rPr>
          <w:rFonts w:ascii="inherit" w:eastAsia="Times New Roman" w:hAnsi="inherit" w:cs="Helvetica"/>
          <w:color w:val="262626"/>
          <w:sz w:val="21"/>
          <w:szCs w:val="21"/>
          <w:lang w:eastAsia="es-ES"/>
        </w:rPr>
        <w:t> </w:t>
      </w:r>
    </w:p>
    <w:sectPr w:rsidR="00AA4610" w:rsidRPr="00AA461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0A85"/>
    <w:multiLevelType w:val="multilevel"/>
    <w:tmpl w:val="80BE9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C11C7F"/>
    <w:multiLevelType w:val="multilevel"/>
    <w:tmpl w:val="5FEA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693213"/>
    <w:multiLevelType w:val="multilevel"/>
    <w:tmpl w:val="6BE25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53A92"/>
    <w:multiLevelType w:val="multilevel"/>
    <w:tmpl w:val="743A4A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91B6F"/>
    <w:multiLevelType w:val="multilevel"/>
    <w:tmpl w:val="4FDAB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9D58F9"/>
    <w:multiLevelType w:val="multilevel"/>
    <w:tmpl w:val="12F808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4610"/>
    <w:rsid w:val="00590F50"/>
    <w:rsid w:val="00596F89"/>
    <w:rsid w:val="00AA46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1">
    <w:name w:val="heading 1"/>
    <w:basedOn w:val="Normal"/>
    <w:link w:val="Ttulo1Car"/>
    <w:uiPriority w:val="9"/>
    <w:qFormat/>
    <w:rsid w:val="00AA4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A461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61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A461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A46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A4610"/>
    <w:rPr>
      <w:color w:val="0000FF"/>
      <w:u w:val="single"/>
    </w:rPr>
  </w:style>
  <w:style w:type="character" w:styleId="nfasis">
    <w:name w:val="Emphasis"/>
    <w:basedOn w:val="Fuentedeprrafopredeter"/>
    <w:uiPriority w:val="20"/>
    <w:qFormat/>
    <w:rsid w:val="00AA4610"/>
    <w:rPr>
      <w:i/>
      <w:iCs/>
    </w:rPr>
  </w:style>
  <w:style w:type="character" w:styleId="Textoennegrita">
    <w:name w:val="Strong"/>
    <w:basedOn w:val="Fuentedeprrafopredeter"/>
    <w:uiPriority w:val="22"/>
    <w:qFormat/>
    <w:rsid w:val="00AA4610"/>
    <w:rPr>
      <w:b/>
      <w:bCs/>
    </w:rPr>
  </w:style>
</w:styles>
</file>

<file path=word/webSettings.xml><?xml version="1.0" encoding="utf-8"?>
<w:webSettings xmlns:r="http://schemas.openxmlformats.org/officeDocument/2006/relationships" xmlns:w="http://schemas.openxmlformats.org/wordprocessingml/2006/main">
  <w:divs>
    <w:div w:id="811142646">
      <w:bodyDiv w:val="1"/>
      <w:marLeft w:val="0"/>
      <w:marRight w:val="0"/>
      <w:marTop w:val="0"/>
      <w:marBottom w:val="0"/>
      <w:divBdr>
        <w:top w:val="none" w:sz="0" w:space="0" w:color="auto"/>
        <w:left w:val="none" w:sz="0" w:space="0" w:color="auto"/>
        <w:bottom w:val="none" w:sz="0" w:space="0" w:color="auto"/>
        <w:right w:val="none" w:sz="0" w:space="0" w:color="auto"/>
      </w:divBdr>
      <w:divsChild>
        <w:div w:id="61440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tt.cl/nuevocorreo/category/economia-nundial/ecomomia-mundial/" TargetMode="External"/><Relationship Id="rId13" Type="http://schemas.openxmlformats.org/officeDocument/2006/relationships/hyperlink" Target="https://calculadora-de-la-desigualdad.ojo-publico.com/como-se-hizo/Rangos%20de%20la%20calculadora.xlsx" TargetMode="External"/><Relationship Id="rId3" Type="http://schemas.openxmlformats.org/officeDocument/2006/relationships/settings" Target="settings.xml"/><Relationship Id="rId7" Type="http://schemas.openxmlformats.org/officeDocument/2006/relationships/hyperlink" Target="http://www.cctt.cl/nuevocorreo/category/economia-nundial/" TargetMode="External"/><Relationship Id="rId12" Type="http://schemas.openxmlformats.org/officeDocument/2006/relationships/hyperlink" Target="http://www.oecd.org/statistics/compare-your-incom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ctt.cl/nuevocorreo/author/editor/" TargetMode="External"/><Relationship Id="rId11" Type="http://schemas.openxmlformats.org/officeDocument/2006/relationships/hyperlink" Target="http://www.bbc.com/mundo/noticias/2015/02/150205_deportes_calculadora_futbolistas_salario_futbol_comparacion_jmp" TargetMode="External"/><Relationship Id="rId5" Type="http://schemas.openxmlformats.org/officeDocument/2006/relationships/hyperlink" Target="http://www.cctt.cl/nuevocorreo/2016/06/" TargetMode="External"/><Relationship Id="rId15" Type="http://schemas.openxmlformats.org/officeDocument/2006/relationships/hyperlink" Target="http://datos.bancomundial.org/indicador/FP.CPI.TOTL.ZG" TargetMode="External"/><Relationship Id="rId10" Type="http://schemas.openxmlformats.org/officeDocument/2006/relationships/hyperlink" Target="http://www.clacso.org.ar/calculadora_desigualdad/calculadora.php" TargetMode="External"/><Relationship Id="rId4" Type="http://schemas.openxmlformats.org/officeDocument/2006/relationships/webSettings" Target="webSettings.xml"/><Relationship Id="rId9" Type="http://schemas.openxmlformats.org/officeDocument/2006/relationships/hyperlink" Target="http://www.cctt.cl/nuevocorreo/2016/06/24/oxfam-desarrolla-calculadora-de-la-desigualdad-pais-por-pais/" TargetMode="External"/><Relationship Id="rId14" Type="http://schemas.openxmlformats.org/officeDocument/2006/relationships/hyperlink" Target="https://publications.credit-suisse.com/tasks/render/file/index.cfm?fileid=88F22B53-83E8-EB92-9D555B7A27900DA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9415</Characters>
  <Application>Microsoft Office Word</Application>
  <DocSecurity>0</DocSecurity>
  <Lines>78</Lines>
  <Paragraphs>22</Paragraphs>
  <ScaleCrop>false</ScaleCrop>
  <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2016-06-30T13:48:00Z</dcterms:created>
  <dcterms:modified xsi:type="dcterms:W3CDTF">2016-06-30T13:49:00Z</dcterms:modified>
</cp:coreProperties>
</file>