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926" w:rsidRPr="00C22926" w:rsidRDefault="00C22926" w:rsidP="00C22926">
      <w:pPr>
        <w:spacing w:after="264" w:line="594" w:lineRule="atLeast"/>
        <w:jc w:val="center"/>
        <w:outlineLvl w:val="0"/>
        <w:rPr>
          <w:rFonts w:ascii="Arial" w:eastAsia="Times New Roman" w:hAnsi="Arial" w:cs="Arial"/>
          <w:color w:val="000000" w:themeColor="text1"/>
          <w:kern w:val="36"/>
          <w:sz w:val="56"/>
          <w:szCs w:val="56"/>
          <w:lang w:eastAsia="es-ES"/>
        </w:rPr>
      </w:pPr>
      <w:hyperlink r:id="rId4" w:tooltip="La preocupante teología intemporal de nuestros obispos" w:history="1">
        <w:r w:rsidRPr="00C22926">
          <w:rPr>
            <w:rFonts w:ascii="Arial" w:eastAsia="Times New Roman" w:hAnsi="Arial" w:cs="Arial"/>
            <w:color w:val="000000" w:themeColor="text1"/>
            <w:kern w:val="36"/>
            <w:sz w:val="56"/>
            <w:szCs w:val="56"/>
            <w:lang w:eastAsia="es-ES"/>
          </w:rPr>
          <w:t>La preocupante teología intemporal de nuestros obispos</w:t>
        </w:r>
      </w:hyperlink>
    </w:p>
    <w:p w:rsidR="00C22926" w:rsidRPr="00C22926" w:rsidRDefault="00C22926" w:rsidP="00C22926">
      <w:pPr>
        <w:spacing w:after="0" w:line="240" w:lineRule="auto"/>
        <w:jc w:val="right"/>
        <w:rPr>
          <w:rFonts w:ascii="Segoe UI" w:eastAsia="Times New Roman" w:hAnsi="Segoe UI" w:cs="Segoe UI"/>
          <w:b/>
          <w:color w:val="000000" w:themeColor="text1"/>
          <w:sz w:val="23"/>
          <w:szCs w:val="23"/>
          <w:lang w:eastAsia="es-ES"/>
        </w:rPr>
      </w:pPr>
      <w:r w:rsidRPr="00C22926">
        <w:rPr>
          <w:rFonts w:ascii="Segoe UI" w:eastAsia="Times New Roman" w:hAnsi="Segoe UI" w:cs="Segoe UI"/>
          <w:b/>
          <w:color w:val="000000" w:themeColor="text1"/>
          <w:sz w:val="23"/>
          <w:szCs w:val="23"/>
          <w:lang w:eastAsia="es-ES"/>
        </w:rPr>
        <w:t>Escrito por</w:t>
      </w:r>
      <w:r w:rsidRPr="00C22926">
        <w:rPr>
          <w:rFonts w:ascii="Segoe UI" w:eastAsia="Times New Roman" w:hAnsi="Segoe UI" w:cs="Segoe UI"/>
          <w:b/>
          <w:color w:val="000000" w:themeColor="text1"/>
          <w:sz w:val="23"/>
          <w:lang w:eastAsia="es-ES"/>
        </w:rPr>
        <w:t> </w:t>
      </w:r>
      <w:r w:rsidRPr="00C22926">
        <w:rPr>
          <w:rFonts w:ascii="Segoe UI" w:eastAsia="Times New Roman" w:hAnsi="Segoe UI" w:cs="Segoe UI"/>
          <w:b/>
          <w:bCs/>
          <w:color w:val="000000" w:themeColor="text1"/>
          <w:sz w:val="23"/>
          <w:szCs w:val="23"/>
          <w:lang w:eastAsia="es-ES"/>
        </w:rPr>
        <w:t>José María Castillo</w:t>
      </w:r>
      <w:r w:rsidRPr="00C22926">
        <w:rPr>
          <w:rFonts w:ascii="Segoe UI" w:eastAsia="Times New Roman" w:hAnsi="Segoe UI" w:cs="Segoe UI"/>
          <w:b/>
          <w:color w:val="000000" w:themeColor="text1"/>
          <w:sz w:val="23"/>
          <w:szCs w:val="23"/>
          <w:lang w:eastAsia="es-ES"/>
        </w:rPr>
        <w:t>,</w:t>
      </w:r>
      <w:r w:rsidRPr="00C22926">
        <w:rPr>
          <w:rFonts w:ascii="Segoe UI" w:eastAsia="Times New Roman" w:hAnsi="Segoe UI" w:cs="Segoe UI"/>
          <w:b/>
          <w:color w:val="000000" w:themeColor="text1"/>
          <w:sz w:val="23"/>
          <w:lang w:eastAsia="es-ES"/>
        </w:rPr>
        <w:t> </w:t>
      </w:r>
    </w:p>
    <w:p w:rsidR="00C22926" w:rsidRPr="00C22926" w:rsidRDefault="00C22926" w:rsidP="00C22926">
      <w:pPr>
        <w:spacing w:before="100" w:beforeAutospacing="1" w:after="100" w:afterAutospacing="1" w:line="240" w:lineRule="auto"/>
        <w:ind w:firstLine="330"/>
        <w:jc w:val="both"/>
        <w:rPr>
          <w:rFonts w:ascii="Segoe UI" w:eastAsia="Times New Roman" w:hAnsi="Segoe UI" w:cs="Segoe UI"/>
          <w:color w:val="000000"/>
          <w:sz w:val="23"/>
          <w:szCs w:val="23"/>
          <w:lang w:eastAsia="es-ES"/>
        </w:rPr>
      </w:pPr>
      <w:r w:rsidRPr="00C22926">
        <w:rPr>
          <w:rFonts w:ascii="Segoe UI" w:eastAsia="Times New Roman" w:hAnsi="Segoe UI" w:cs="Segoe UI"/>
          <w:noProof/>
          <w:color w:val="000000" w:themeColor="text1"/>
          <w:sz w:val="23"/>
          <w:szCs w:val="23"/>
          <w:lang w:eastAsia="es-ES"/>
        </w:rPr>
        <w:drawing>
          <wp:anchor distT="0" distB="0" distL="114300" distR="114300" simplePos="0" relativeHeight="251658240" behindDoc="1" locked="0" layoutInCell="1" allowOverlap="1">
            <wp:simplePos x="0" y="0"/>
            <wp:positionH relativeFrom="column">
              <wp:posOffset>230820</wp:posOffset>
            </wp:positionH>
            <wp:positionV relativeFrom="paragraph">
              <wp:posOffset>176810</wp:posOffset>
            </wp:positionV>
            <wp:extent cx="1429705" cy="1426128"/>
            <wp:effectExtent l="19050" t="0" r="0" b="0"/>
            <wp:wrapTight wrapText="bothSides">
              <wp:wrapPolygon edited="0">
                <wp:start x="-288" y="0"/>
                <wp:lineTo x="-288" y="21351"/>
                <wp:lineTo x="21586" y="21351"/>
                <wp:lineTo x="21586" y="0"/>
                <wp:lineTo x="-288" y="0"/>
              </wp:wrapPolygon>
            </wp:wrapTight>
            <wp:docPr id="1" name="Imagen 1" descr="Castill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illo">
                      <a:hlinkClick r:id="rId5"/>
                    </pic:cNvPr>
                    <pic:cNvPicPr>
                      <a:picLocks noChangeAspect="1" noChangeArrowheads="1"/>
                    </pic:cNvPicPr>
                  </pic:nvPicPr>
                  <pic:blipFill>
                    <a:blip r:embed="rId6"/>
                    <a:srcRect/>
                    <a:stretch>
                      <a:fillRect/>
                    </a:stretch>
                  </pic:blipFill>
                  <pic:spPr bwMode="auto">
                    <a:xfrm>
                      <a:off x="0" y="0"/>
                      <a:ext cx="1429705" cy="1426128"/>
                    </a:xfrm>
                    <a:prstGeom prst="rect">
                      <a:avLst/>
                    </a:prstGeom>
                    <a:noFill/>
                    <a:ln w="9525">
                      <a:noFill/>
                      <a:miter lim="800000"/>
                      <a:headEnd/>
                      <a:tailEnd/>
                    </a:ln>
                  </pic:spPr>
                </pic:pic>
              </a:graphicData>
            </a:graphic>
          </wp:anchor>
        </w:drawing>
      </w:r>
      <w:r w:rsidRPr="00C22926">
        <w:rPr>
          <w:rFonts w:ascii="Segoe UI" w:eastAsia="Times New Roman" w:hAnsi="Segoe UI" w:cs="Segoe UI"/>
          <w:i/>
          <w:iCs/>
          <w:color w:val="000000" w:themeColor="text1"/>
          <w:sz w:val="23"/>
          <w:lang w:eastAsia="es-ES"/>
        </w:rPr>
        <w:t>En la última entrada en este blog, ya hablábamos del documento que los obispos españoles han publicado sobre</w:t>
      </w:r>
      <w:r w:rsidRPr="00C22926">
        <w:rPr>
          <w:rFonts w:ascii="Segoe UI" w:eastAsia="Times New Roman" w:hAnsi="Segoe UI" w:cs="Segoe UI"/>
          <w:color w:val="000000" w:themeColor="text1"/>
          <w:sz w:val="23"/>
          <w:lang w:eastAsia="es-ES"/>
        </w:rPr>
        <w:t> </w:t>
      </w:r>
      <w:hyperlink r:id="rId7" w:history="1">
        <w:r w:rsidRPr="00C22926">
          <w:rPr>
            <w:rFonts w:ascii="Segoe UI" w:eastAsia="Times New Roman" w:hAnsi="Segoe UI" w:cs="Segoe UI"/>
            <w:b/>
            <w:bCs/>
            <w:color w:val="000000" w:themeColor="text1"/>
            <w:sz w:val="23"/>
            <w:lang w:eastAsia="es-ES"/>
          </w:rPr>
          <w:t>“Jesucristo, salvador del hombre y esperanza del mundo”.</w:t>
        </w:r>
        <w:r w:rsidRPr="00C22926">
          <w:rPr>
            <w:rFonts w:ascii="Segoe UI" w:eastAsia="Times New Roman" w:hAnsi="Segoe UI" w:cs="Segoe UI"/>
            <w:color w:val="000000" w:themeColor="text1"/>
            <w:sz w:val="23"/>
            <w:lang w:eastAsia="es-ES"/>
          </w:rPr>
          <w:t> </w:t>
        </w:r>
      </w:hyperlink>
      <w:r w:rsidRPr="00C22926">
        <w:rPr>
          <w:rFonts w:ascii="Segoe UI" w:eastAsia="Times New Roman" w:hAnsi="Segoe UI" w:cs="Segoe UI"/>
          <w:color w:val="000000" w:themeColor="text1"/>
          <w:sz w:val="23"/>
          <w:szCs w:val="23"/>
          <w:lang w:eastAsia="es-ES"/>
        </w:rPr>
        <w:t> </w:t>
      </w:r>
      <w:r w:rsidRPr="00C22926">
        <w:rPr>
          <w:rFonts w:ascii="Segoe UI" w:eastAsia="Times New Roman" w:hAnsi="Segoe UI" w:cs="Segoe UI"/>
          <w:i/>
          <w:iCs/>
          <w:color w:val="000000" w:themeColor="text1"/>
          <w:sz w:val="23"/>
          <w:lang w:eastAsia="es-ES"/>
        </w:rPr>
        <w:t>Hoy hace un primer comentario sobre el mismo el teólogo </w:t>
      </w:r>
      <w:r w:rsidRPr="00C22926">
        <w:rPr>
          <w:rFonts w:ascii="Segoe UI" w:eastAsia="Times New Roman" w:hAnsi="Segoe UI" w:cs="Segoe UI"/>
          <w:b/>
          <w:bCs/>
          <w:i/>
          <w:iCs/>
          <w:color w:val="000000" w:themeColor="text1"/>
          <w:sz w:val="23"/>
          <w:lang w:eastAsia="es-ES"/>
        </w:rPr>
        <w:t>José</w:t>
      </w:r>
      <w:r w:rsidRPr="00C22926">
        <w:rPr>
          <w:rFonts w:ascii="Segoe UI" w:eastAsia="Times New Roman" w:hAnsi="Segoe UI" w:cs="Segoe UI"/>
          <w:b/>
          <w:bCs/>
          <w:i/>
          <w:iCs/>
          <w:color w:val="000000"/>
          <w:sz w:val="23"/>
          <w:lang w:eastAsia="es-ES"/>
        </w:rPr>
        <w:t xml:space="preserve"> María Castillo</w:t>
      </w:r>
      <w:r w:rsidRPr="00C22926">
        <w:rPr>
          <w:rFonts w:ascii="Segoe UI" w:eastAsia="Times New Roman" w:hAnsi="Segoe UI" w:cs="Segoe UI"/>
          <w:i/>
          <w:iCs/>
          <w:color w:val="000000"/>
          <w:sz w:val="23"/>
          <w:lang w:eastAsia="es-ES"/>
        </w:rPr>
        <w:t>. ¿Por qué no ir añadiendo nuestras opiniones en los</w:t>
      </w:r>
      <w:r w:rsidRPr="00C22926">
        <w:rPr>
          <w:rFonts w:ascii="Segoe UI" w:eastAsia="Times New Roman" w:hAnsi="Segoe UI" w:cs="Segoe UI"/>
          <w:b/>
          <w:bCs/>
          <w:i/>
          <w:iCs/>
          <w:color w:val="000000"/>
          <w:sz w:val="23"/>
          <w:lang w:eastAsia="es-ES"/>
        </w:rPr>
        <w:t> comentarios, abiertos a todos</w:t>
      </w:r>
      <w:r w:rsidRPr="00C22926">
        <w:rPr>
          <w:rFonts w:ascii="Segoe UI" w:eastAsia="Times New Roman" w:hAnsi="Segoe UI" w:cs="Segoe UI"/>
          <w:i/>
          <w:iCs/>
          <w:color w:val="000000"/>
          <w:sz w:val="23"/>
          <w:lang w:eastAsia="es-ES"/>
        </w:rPr>
        <w:t>?</w:t>
      </w:r>
    </w:p>
    <w:p w:rsidR="00C22926" w:rsidRPr="00C22926" w:rsidRDefault="00C22926" w:rsidP="00C22926">
      <w:pPr>
        <w:spacing w:before="100" w:beforeAutospacing="1" w:after="100" w:afterAutospacing="1" w:line="240" w:lineRule="auto"/>
        <w:ind w:firstLine="330"/>
        <w:jc w:val="both"/>
        <w:rPr>
          <w:rFonts w:ascii="Segoe UI" w:eastAsia="Times New Roman" w:hAnsi="Segoe UI" w:cs="Segoe UI"/>
          <w:color w:val="000000"/>
          <w:sz w:val="23"/>
          <w:szCs w:val="23"/>
          <w:lang w:eastAsia="es-ES"/>
        </w:rPr>
      </w:pPr>
      <w:r w:rsidRPr="00C22926">
        <w:rPr>
          <w:rFonts w:ascii="Segoe UI" w:eastAsia="Times New Roman" w:hAnsi="Segoe UI" w:cs="Segoe UI"/>
          <w:color w:val="000000"/>
          <w:sz w:val="23"/>
          <w:szCs w:val="23"/>
          <w:lang w:eastAsia="es-ES"/>
        </w:rPr>
        <w:br/>
        <w:t>Hace unos días, se ha hecho público un documento de la Comisión de la Doctrina de la Fe, de la Conferencia Episcopal Española, que presenta lo que piensan (y quieren enseñar) los obispos españoles sobre “Jesucristo, salvador del hombre y esperanza del mundo”. Según parece, no todos nuestros obispos están de acuerdo con el contenido de ese texto. Pero el hecho es que el documento se ha dado a conocer “oficialmente”. Lo que ha provocado las lógicas e inevitables reacciones que se suelen producir en estos casos. Desde quienes han elogiado el escrito de la Conferencia Episcopal, hasta los que han lamentado la falta (o debilidad) de una más clara y fuerte dimensión profética o la ausencia de la debida sensibilidad ante el sufrimiento de los pobres.</w:t>
      </w:r>
    </w:p>
    <w:p w:rsidR="00C22926" w:rsidRPr="00C22926" w:rsidRDefault="00C22926" w:rsidP="00C22926">
      <w:pPr>
        <w:spacing w:before="100" w:beforeAutospacing="1" w:after="100" w:afterAutospacing="1" w:line="240" w:lineRule="auto"/>
        <w:ind w:firstLine="330"/>
        <w:jc w:val="both"/>
        <w:rPr>
          <w:rFonts w:ascii="Segoe UI" w:eastAsia="Times New Roman" w:hAnsi="Segoe UI" w:cs="Segoe UI"/>
          <w:color w:val="000000"/>
          <w:sz w:val="23"/>
          <w:szCs w:val="23"/>
          <w:lang w:eastAsia="es-ES"/>
        </w:rPr>
      </w:pPr>
      <w:r w:rsidRPr="00C22926">
        <w:rPr>
          <w:rFonts w:ascii="Segoe UI" w:eastAsia="Times New Roman" w:hAnsi="Segoe UI" w:cs="Segoe UI"/>
          <w:color w:val="000000"/>
          <w:sz w:val="23"/>
          <w:szCs w:val="23"/>
          <w:lang w:eastAsia="es-ES"/>
        </w:rPr>
        <w:t>Por supuesto, en un documento que no es, ni puede ser, una “definición dogmática”, los cristianos podemos (y debemos) sentirnos libres para expresar nuestro punto de vista, e incluso nuestro desacuerdo, en aquellas cuestiones que no lesionen la fe de la Iglesia, sino que, por el contrario, veamos que se trata de cuestiones importantes que pueden fortalecer la fe y la vida cristiana.</w:t>
      </w:r>
    </w:p>
    <w:p w:rsidR="00C22926" w:rsidRPr="00C22926" w:rsidRDefault="00C22926" w:rsidP="00C22926">
      <w:pPr>
        <w:spacing w:before="100" w:beforeAutospacing="1" w:after="100" w:afterAutospacing="1" w:line="240" w:lineRule="auto"/>
        <w:ind w:firstLine="330"/>
        <w:jc w:val="both"/>
        <w:rPr>
          <w:rFonts w:ascii="Segoe UI" w:eastAsia="Times New Roman" w:hAnsi="Segoe UI" w:cs="Segoe UI"/>
          <w:color w:val="000000"/>
          <w:sz w:val="23"/>
          <w:szCs w:val="23"/>
          <w:lang w:eastAsia="es-ES"/>
        </w:rPr>
      </w:pPr>
      <w:r w:rsidRPr="00C22926">
        <w:rPr>
          <w:rFonts w:ascii="Segoe UI" w:eastAsia="Times New Roman" w:hAnsi="Segoe UI" w:cs="Segoe UI"/>
          <w:color w:val="000000"/>
          <w:sz w:val="23"/>
          <w:szCs w:val="23"/>
          <w:lang w:eastAsia="es-ES"/>
        </w:rPr>
        <w:t>Pues bien, supuesto lo dicho, es comprensible que haya quienes echan de menos, en este documento episcopal, el hecho de no destacar la misión profética de Jesús, que tan ampliamente explican y repiten los evangelios. Y quizá más chocante resulta, que, en un país y en una situación en la que el sufrimiento de los pobres se palpa escandalosamente, nuestros obispos no hayan aprovechado la oportunidad que les proporciona ahora mismo hablar y actualizar la misión de Jesús como “salvador” y como “esperanza” precisamente para los que más sufren entre nosotros.</w:t>
      </w:r>
    </w:p>
    <w:p w:rsidR="00C22926" w:rsidRPr="00C22926" w:rsidRDefault="00C22926" w:rsidP="00C22926">
      <w:pPr>
        <w:spacing w:before="100" w:beforeAutospacing="1" w:after="100" w:afterAutospacing="1" w:line="240" w:lineRule="auto"/>
        <w:ind w:firstLine="330"/>
        <w:jc w:val="both"/>
        <w:rPr>
          <w:rFonts w:ascii="Segoe UI" w:eastAsia="Times New Roman" w:hAnsi="Segoe UI" w:cs="Segoe UI"/>
          <w:color w:val="000000"/>
          <w:sz w:val="23"/>
          <w:szCs w:val="23"/>
          <w:lang w:eastAsia="es-ES"/>
        </w:rPr>
      </w:pPr>
      <w:r w:rsidRPr="00C22926">
        <w:rPr>
          <w:rFonts w:ascii="Segoe UI" w:eastAsia="Times New Roman" w:hAnsi="Segoe UI" w:cs="Segoe UI"/>
          <w:color w:val="000000"/>
          <w:sz w:val="23"/>
          <w:szCs w:val="23"/>
          <w:lang w:eastAsia="es-ES"/>
        </w:rPr>
        <w:t xml:space="preserve">Pero siendo muy cierto lo que – a mi limitado y corto entender – acabo de indicar, me parece que, en este documento episcopal, se advierte algo que resulta mucho más preocupante, por más que, a primera vista, mucha gente quizá no lo advierta. Me refiero a lo siguiente: este escrito sobre Jesucristo, como Dios y como </w:t>
      </w:r>
      <w:r w:rsidRPr="00C22926">
        <w:rPr>
          <w:rFonts w:ascii="Segoe UI" w:eastAsia="Times New Roman" w:hAnsi="Segoe UI" w:cs="Segoe UI"/>
          <w:color w:val="000000"/>
          <w:sz w:val="23"/>
          <w:szCs w:val="23"/>
          <w:lang w:eastAsia="es-ES"/>
        </w:rPr>
        <w:lastRenderedPageBreak/>
        <w:t>Salvador del mundo, se podría haber escrito hace más de cincuenta o sesenta años, y (menos las indicaciones a ciertos teólogos o papas de los últimos años) tendría la misma actualidad entonces que ahora.</w:t>
      </w:r>
    </w:p>
    <w:p w:rsidR="00C22926" w:rsidRPr="00C22926" w:rsidRDefault="00C22926" w:rsidP="00C22926">
      <w:pPr>
        <w:spacing w:before="100" w:beforeAutospacing="1" w:after="100" w:afterAutospacing="1" w:line="240" w:lineRule="auto"/>
        <w:ind w:firstLine="330"/>
        <w:jc w:val="both"/>
        <w:rPr>
          <w:rFonts w:ascii="Segoe UI" w:eastAsia="Times New Roman" w:hAnsi="Segoe UI" w:cs="Segoe UI"/>
          <w:color w:val="000000"/>
          <w:sz w:val="23"/>
          <w:szCs w:val="23"/>
          <w:lang w:eastAsia="es-ES"/>
        </w:rPr>
      </w:pPr>
      <w:r w:rsidRPr="00C22926">
        <w:rPr>
          <w:rFonts w:ascii="Segoe UI" w:eastAsia="Times New Roman" w:hAnsi="Segoe UI" w:cs="Segoe UI"/>
          <w:color w:val="000000"/>
          <w:sz w:val="23"/>
          <w:szCs w:val="23"/>
          <w:lang w:eastAsia="es-ES"/>
        </w:rPr>
        <w:t>Concretamente, en cuanto se refiere a los temas centrales de la “Salvación” y de la “Esperanza”, que son los pilares del documento, en él se repite, una vez más, lo que ya oía yo en mis lejanos tiempos de estudiante de teología, allá por los años 40 y 50 del siglo pasado. Estamos, pues, donde estábamos. El tiempo corre, todo cambia. Todo, menos la teología. Y si la teología, en temas tan fundamentales, sigue estancada, eso nos viene a decir que es la Iglesia jerárquica y docente la que se quedó atascada en un tiempo, unos problemas y unas soluciones que ya no interesan a casi nadie. ¿Y nos extraña que haya gente que se aleja de la Iglesia?</w:t>
      </w:r>
    </w:p>
    <w:p w:rsidR="00C22926" w:rsidRPr="00C22926" w:rsidRDefault="00C22926" w:rsidP="00C22926">
      <w:pPr>
        <w:spacing w:before="100" w:beforeAutospacing="1" w:after="100" w:afterAutospacing="1" w:line="240" w:lineRule="auto"/>
        <w:ind w:firstLine="330"/>
        <w:jc w:val="both"/>
        <w:rPr>
          <w:rFonts w:ascii="Segoe UI" w:eastAsia="Times New Roman" w:hAnsi="Segoe UI" w:cs="Segoe UI"/>
          <w:color w:val="000000"/>
          <w:sz w:val="23"/>
          <w:szCs w:val="23"/>
          <w:lang w:eastAsia="es-ES"/>
        </w:rPr>
      </w:pPr>
      <w:r w:rsidRPr="00C22926">
        <w:rPr>
          <w:rFonts w:ascii="Segoe UI" w:eastAsia="Times New Roman" w:hAnsi="Segoe UI" w:cs="Segoe UI"/>
          <w:color w:val="000000"/>
          <w:sz w:val="23"/>
          <w:szCs w:val="23"/>
          <w:lang w:eastAsia="es-ES"/>
        </w:rPr>
        <w:t>El fondo del asunto, me parece a mí, está en que la cristología (el tratado de la teología que estudia a Cristo) no ha tenido debidamente en cuenta una cuestión capital y, por tanto, indispensable. El “saber cristológico no se constituye ni se transmite primariamente” en determinados conceptos, ideas o especulaciones, sino en los relatos de “seguimiento de Jesús” (J. B. Metz). Es decir, los primeros discípulos y apóstoles, de los que nos hablan los evangelios, no aprendieron cristología oyendo conferencias y estudiando libros, sino “viviendo con Jesús y como vivió Jesús”. Según el Evangelio, quienes no renunciaron a todo, cargaron con su cruz y se fueron con Jesús, pasando miedo y carencias, mucha escasez, y afrontando la conflictividad que afrontó Jesús, quienes no fueron capaces de eso, no se enteraron de quién era Jesús, ni tuvieron idea de lo que Jesús quería, ni – por tanto – pudieron ser cristianos, al menos de forma incipiente. Y es que Jesús no fue primordialmente un “dogma”, sino un “ciudadano” galileo, un ser humano, que vivió entre las gentes de su pueblo, con los problemas que tenían aquellas gentes. Y así, en la cercanía y la convivencia, enseñó quién es Dios y cómo es Dios. Más aún, en su vida y en sus obras, pudimos descubrir a Dios, ver a Dios, palpar la presencia del Dios que puede dar sentido a nuestras vidas. Y así, nos aporta “salvación” y “esperanza”. Dicho de la forma más clara y sencilla posible: Dios no se nos dio a conocer primordialmente en un “dogma”, sino en su Hijo, despojado de toda dignidad, incluso la divina, y viviendo como un “esclavo” (Fil 2, 7). Jesús, despojándose de toda dignidad, nos pudo dar a conocer a Dios. O sea, desde lo humano, “lo ínfimamente humano”, nos dio a conocer lo que los humanos podemos conocer de Dios.</w:t>
      </w:r>
    </w:p>
    <w:p w:rsidR="00C22926" w:rsidRPr="00C22926" w:rsidRDefault="00C22926" w:rsidP="00C22926">
      <w:pPr>
        <w:spacing w:before="100" w:beforeAutospacing="1" w:after="100" w:afterAutospacing="1" w:line="240" w:lineRule="auto"/>
        <w:ind w:firstLine="330"/>
        <w:jc w:val="both"/>
        <w:rPr>
          <w:rFonts w:ascii="Segoe UI" w:eastAsia="Times New Roman" w:hAnsi="Segoe UI" w:cs="Segoe UI"/>
          <w:color w:val="000000"/>
          <w:sz w:val="23"/>
          <w:szCs w:val="23"/>
          <w:lang w:eastAsia="es-ES"/>
        </w:rPr>
      </w:pPr>
      <w:r w:rsidRPr="00C22926">
        <w:rPr>
          <w:rFonts w:ascii="Segoe UI" w:eastAsia="Times New Roman" w:hAnsi="Segoe UI" w:cs="Segoe UI"/>
          <w:color w:val="000000"/>
          <w:sz w:val="23"/>
          <w:szCs w:val="23"/>
          <w:lang w:eastAsia="es-ES"/>
        </w:rPr>
        <w:t>Cuando la teología resulta ser una “teología intemporal”, que puede ser igualmente válida parta cualquier tiempo y situación, semejante teología se incapacita para presentarse como la revelación de Jesús, el Hijo de Dios, que nos reveló y nos sigue enseñando dónde y cómo podemos y debemos encontrar al Dios y Padre de la misericordia, de la justicia y de la bondad. Es el Jesús que nos dice cómo ahora, en el momento que vivimos, podemos y debemos encontrar la Buena Noticia, el Evangelio que nos hace más humanos y más creyentes.</w:t>
      </w:r>
    </w:p>
    <w:p w:rsidR="00590F50" w:rsidRDefault="00C22926" w:rsidP="00C22926">
      <w:pPr>
        <w:jc w:val="center"/>
      </w:pPr>
      <w:r w:rsidRPr="00C22926">
        <w:t>http://iviva.org/la-preocupante-teologia-intemporal-de-nuestros-obispos/</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hyphenationZone w:val="425"/>
  <w:characterSpacingControl w:val="doNotCompress"/>
  <w:compat/>
  <w:rsids>
    <w:rsidRoot w:val="00C22926"/>
    <w:rsid w:val="00590F50"/>
    <w:rsid w:val="00C22926"/>
    <w:rsid w:val="00D11A2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C229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C2292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2926"/>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C22926"/>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C22926"/>
    <w:rPr>
      <w:color w:val="0000FF"/>
      <w:u w:val="single"/>
    </w:rPr>
  </w:style>
  <w:style w:type="character" w:customStyle="1" w:styleId="firstpart">
    <w:name w:val="firstpart"/>
    <w:basedOn w:val="Fuentedeprrafopredeter"/>
    <w:rsid w:val="00C22926"/>
  </w:style>
  <w:style w:type="character" w:customStyle="1" w:styleId="apple-converted-space">
    <w:name w:val="apple-converted-space"/>
    <w:basedOn w:val="Fuentedeprrafopredeter"/>
    <w:rsid w:val="00C22926"/>
  </w:style>
  <w:style w:type="paragraph" w:styleId="NormalWeb">
    <w:name w:val="Normal (Web)"/>
    <w:basedOn w:val="Normal"/>
    <w:uiPriority w:val="99"/>
    <w:semiHidden/>
    <w:unhideWhenUsed/>
    <w:rsid w:val="00C2292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C22926"/>
    <w:rPr>
      <w:i/>
      <w:iCs/>
    </w:rPr>
  </w:style>
  <w:style w:type="character" w:styleId="Textoennegrita">
    <w:name w:val="Strong"/>
    <w:basedOn w:val="Fuentedeprrafopredeter"/>
    <w:uiPriority w:val="22"/>
    <w:qFormat/>
    <w:rsid w:val="00C22926"/>
    <w:rPr>
      <w:b/>
      <w:bCs/>
    </w:rPr>
  </w:style>
  <w:style w:type="paragraph" w:styleId="Textodeglobo">
    <w:name w:val="Balloon Text"/>
    <w:basedOn w:val="Normal"/>
    <w:link w:val="TextodegloboCar"/>
    <w:uiPriority w:val="99"/>
    <w:semiHidden/>
    <w:unhideWhenUsed/>
    <w:rsid w:val="00C229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29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4646198">
      <w:bodyDiv w:val="1"/>
      <w:marLeft w:val="0"/>
      <w:marRight w:val="0"/>
      <w:marTop w:val="0"/>
      <w:marBottom w:val="0"/>
      <w:divBdr>
        <w:top w:val="none" w:sz="0" w:space="0" w:color="auto"/>
        <w:left w:val="none" w:sz="0" w:space="0" w:color="auto"/>
        <w:bottom w:val="none" w:sz="0" w:space="0" w:color="auto"/>
        <w:right w:val="none" w:sz="0" w:space="0" w:color="auto"/>
      </w:divBdr>
      <w:divsChild>
        <w:div w:id="1560093071">
          <w:marLeft w:val="0"/>
          <w:marRight w:val="0"/>
          <w:marTop w:val="0"/>
          <w:marBottom w:val="0"/>
          <w:divBdr>
            <w:top w:val="single" w:sz="4" w:space="20" w:color="EEEEEE"/>
            <w:left w:val="none" w:sz="0" w:space="0" w:color="auto"/>
            <w:bottom w:val="none" w:sz="0" w:space="0" w:color="auto"/>
            <w:right w:val="none" w:sz="0" w:space="0" w:color="auto"/>
          </w:divBdr>
          <w:divsChild>
            <w:div w:id="1243762326">
              <w:marLeft w:val="0"/>
              <w:marRight w:val="0"/>
              <w:marTop w:val="132"/>
              <w:marBottom w:val="0"/>
              <w:divBdr>
                <w:top w:val="none" w:sz="0" w:space="0" w:color="auto"/>
                <w:left w:val="none" w:sz="0" w:space="0" w:color="auto"/>
                <w:bottom w:val="none" w:sz="0" w:space="0" w:color="auto"/>
                <w:right w:val="none" w:sz="0" w:space="0" w:color="auto"/>
              </w:divBdr>
            </w:div>
            <w:div w:id="22445637">
              <w:marLeft w:val="0"/>
              <w:marRight w:val="0"/>
              <w:marTop w:val="0"/>
              <w:marBottom w:val="0"/>
              <w:divBdr>
                <w:top w:val="none" w:sz="0" w:space="0" w:color="auto"/>
                <w:left w:val="none" w:sz="0" w:space="0" w:color="auto"/>
                <w:bottom w:val="none" w:sz="0" w:space="0" w:color="auto"/>
                <w:right w:val="none" w:sz="0" w:space="0" w:color="auto"/>
              </w:divBdr>
            </w:div>
          </w:divsChild>
        </w:div>
        <w:div w:id="1521696314">
          <w:marLeft w:val="0"/>
          <w:marRight w:val="0"/>
          <w:marTop w:val="0"/>
          <w:marBottom w:val="0"/>
          <w:divBdr>
            <w:top w:val="single" w:sz="4" w:space="13" w:color="DDDDDD"/>
            <w:left w:val="none" w:sz="0" w:space="0" w:color="auto"/>
            <w:bottom w:val="none" w:sz="0" w:space="0" w:color="auto"/>
            <w:right w:val="none" w:sz="0" w:space="0" w:color="auto"/>
          </w:divBdr>
          <w:divsChild>
            <w:div w:id="2120710795">
              <w:marLeft w:val="0"/>
              <w:marRight w:val="0"/>
              <w:marTop w:val="396"/>
              <w:marBottom w:val="264"/>
              <w:divBdr>
                <w:top w:val="none" w:sz="0" w:space="0" w:color="auto"/>
                <w:left w:val="none" w:sz="0" w:space="0" w:color="auto"/>
                <w:bottom w:val="single" w:sz="4" w:space="26" w:color="EEEEEE"/>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nferenciaepiscopal.es/wp-content/uploads/2016/07/2016_documento_jesucristo_cvii_plenaria.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iviva.org/wp-content/uploads/2015/02/Castillo.jpg" TargetMode="External"/><Relationship Id="rId4" Type="http://schemas.openxmlformats.org/officeDocument/2006/relationships/hyperlink" Target="http://iviva.org/la-preocupante-teologia-intemporal-de-nuestros-obispos/"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915</Words>
  <Characters>5036</Characters>
  <Application>Microsoft Office Word</Application>
  <DocSecurity>0</DocSecurity>
  <Lines>41</Lines>
  <Paragraphs>11</Paragraphs>
  <ScaleCrop>false</ScaleCrop>
  <Company/>
  <LinksUpToDate>false</LinksUpToDate>
  <CharactersWithSpaces>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2016-08-15T12:25:00Z</dcterms:created>
  <dcterms:modified xsi:type="dcterms:W3CDTF">2016-08-15T12:26:00Z</dcterms:modified>
</cp:coreProperties>
</file>