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BBC" w:rsidRDefault="002D6633" w:rsidP="00274BFA">
      <w:pPr>
        <w:pStyle w:val="Prrafodelista"/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LAS RELIGIONES </w:t>
      </w:r>
      <w:r w:rsidR="00470272">
        <w:rPr>
          <w:b/>
        </w:rPr>
        <w:t>MONOTEÍSTAS</w:t>
      </w:r>
      <w:r>
        <w:rPr>
          <w:b/>
        </w:rPr>
        <w:t xml:space="preserve"> Y EL M</w:t>
      </w:r>
      <w:r w:rsidR="00A71BC3">
        <w:rPr>
          <w:b/>
        </w:rPr>
        <w:t>E</w:t>
      </w:r>
      <w:r>
        <w:rPr>
          <w:b/>
        </w:rPr>
        <w:t>DITERRÁNEO</w:t>
      </w:r>
    </w:p>
    <w:p w:rsidR="00740BBC" w:rsidRDefault="00740BBC" w:rsidP="00274BFA">
      <w:pPr>
        <w:pStyle w:val="Prrafodelista"/>
        <w:spacing w:line="360" w:lineRule="auto"/>
        <w:jc w:val="center"/>
        <w:rPr>
          <w:b/>
        </w:rPr>
      </w:pPr>
    </w:p>
    <w:p w:rsidR="002648A4" w:rsidRDefault="002648A4" w:rsidP="00274BFA">
      <w:pPr>
        <w:pStyle w:val="Prrafodelista"/>
        <w:spacing w:line="360" w:lineRule="auto"/>
        <w:jc w:val="center"/>
        <w:rPr>
          <w:b/>
        </w:rPr>
      </w:pPr>
      <w:r>
        <w:rPr>
          <w:b/>
        </w:rPr>
        <w:t>Juan José Tamayo</w:t>
      </w:r>
    </w:p>
    <w:p w:rsidR="00740BBC" w:rsidRDefault="00740BBC" w:rsidP="00274BFA">
      <w:pPr>
        <w:pStyle w:val="Prrafodelista"/>
        <w:spacing w:line="360" w:lineRule="auto"/>
        <w:jc w:val="center"/>
        <w:rPr>
          <w:b/>
        </w:rPr>
      </w:pPr>
    </w:p>
    <w:p w:rsidR="00740BBC" w:rsidRDefault="00740BBC" w:rsidP="00274BFA">
      <w:pPr>
        <w:pStyle w:val="Prrafodelista"/>
        <w:spacing w:line="360" w:lineRule="auto"/>
        <w:jc w:val="center"/>
        <w:rPr>
          <w:b/>
        </w:rPr>
      </w:pPr>
      <w:r>
        <w:rPr>
          <w:b/>
        </w:rPr>
        <w:t>(Artículo publicado en el diario EL PAÍS, 10 de octubre de 2010)</w:t>
      </w:r>
    </w:p>
    <w:p w:rsidR="00470272" w:rsidRDefault="00470272" w:rsidP="00470272">
      <w:pPr>
        <w:spacing w:line="360" w:lineRule="auto"/>
        <w:jc w:val="both"/>
      </w:pPr>
    </w:p>
    <w:p w:rsidR="00C92DC5" w:rsidRDefault="00470272" w:rsidP="00470272">
      <w:pPr>
        <w:spacing w:line="360" w:lineRule="auto"/>
        <w:jc w:val="both"/>
      </w:pPr>
      <w:r>
        <w:tab/>
      </w:r>
      <w:r w:rsidRPr="00190BCF">
        <w:t>Las religiones monoteístas</w:t>
      </w:r>
      <w:r>
        <w:t xml:space="preserve">, judaísmo, cristianismo e islam, han conformado las culturas y </w:t>
      </w:r>
      <w:r w:rsidRPr="00190BCF">
        <w:t>sociedades del Mediterráneo</w:t>
      </w:r>
      <w:r w:rsidR="00C8715F">
        <w:t>, u</w:t>
      </w:r>
      <w:r>
        <w:t>nas veces contribu</w:t>
      </w:r>
      <w:r w:rsidR="00C8715F">
        <w:t>yendo</w:t>
      </w:r>
      <w:r>
        <w:t xml:space="preserve"> al diálogo inter-cultural, al encuentro inter-civilizatorio y a la convivencia pacífica</w:t>
      </w:r>
      <w:r w:rsidR="00C8715F">
        <w:t xml:space="preserve">, </w:t>
      </w:r>
      <w:r w:rsidR="00687009">
        <w:t xml:space="preserve">y </w:t>
      </w:r>
      <w:r w:rsidR="00C8715F">
        <w:t>o</w:t>
      </w:r>
      <w:r>
        <w:t>tras atiza</w:t>
      </w:r>
      <w:r w:rsidR="00687009">
        <w:t>n</w:t>
      </w:r>
      <w:r>
        <w:t xml:space="preserve">do las guerras, los choques y enfrentamientos entre civilizaciones, culturas y creencias religiosas. Hoy </w:t>
      </w:r>
      <w:r w:rsidR="00274BFA">
        <w:t xml:space="preserve">pueden contribuir a cambiar la </w:t>
      </w:r>
      <w:r w:rsidR="00AB3DA2">
        <w:t>realidad</w:t>
      </w:r>
      <w:r w:rsidR="00274BFA">
        <w:t xml:space="preserve"> mortífera</w:t>
      </w:r>
      <w:r w:rsidR="00C92DC5">
        <w:t xml:space="preserve"> de</w:t>
      </w:r>
      <w:r w:rsidR="002D6633">
        <w:t xml:space="preserve"> este mar </w:t>
      </w:r>
      <w:r w:rsidR="00A96867">
        <w:t xml:space="preserve">por mor de la insolidaridad de Europa </w:t>
      </w:r>
      <w:r w:rsidR="002D6633">
        <w:t xml:space="preserve">a </w:t>
      </w:r>
      <w:r w:rsidR="00C92DC5">
        <w:t>condición de que renuncien a sus fundamentalismos y asuman el pensamiento crítico</w:t>
      </w:r>
      <w:r w:rsidR="002D6633">
        <w:t>,</w:t>
      </w:r>
      <w:r w:rsidR="00C92DC5">
        <w:t xml:space="preserve"> el lenguaje simbólico</w:t>
      </w:r>
      <w:r w:rsidR="002D6633">
        <w:t xml:space="preserve"> y la práctica de la solidaridad. </w:t>
      </w:r>
      <w:r w:rsidR="00C92DC5">
        <w:t xml:space="preserve"> . </w:t>
      </w:r>
    </w:p>
    <w:p w:rsidR="00470272" w:rsidRDefault="00470272" w:rsidP="00470272">
      <w:pPr>
        <w:spacing w:line="360" w:lineRule="auto"/>
        <w:jc w:val="both"/>
      </w:pPr>
      <w:r>
        <w:tab/>
      </w:r>
      <w:r w:rsidR="002D6633">
        <w:t>Tienen que</w:t>
      </w:r>
      <w:r>
        <w:t xml:space="preserve"> optar por la duda, en vez de por el dogmatismo; por la inter-identidad, en vez de por las identidades religiosas frentistas. Es lo que recomendaba Juan Goytisolo en el discurso de recepción del Premio Cervantes: “Dudar de los dogmas y supuestas verdades como puños nos ayudará a eludir el dilema que nos acecha entre la uniformidad impuesta por el fundamentalismo de la tecnocracia en el mundo globalizado de hoy y la previsible reacción violenta de las identidades religiosas e ideológicas que sienten amenazados sus credos y esencias”.  </w:t>
      </w:r>
    </w:p>
    <w:p w:rsidR="00C92DC5" w:rsidRDefault="00470272" w:rsidP="00470272">
      <w:pPr>
        <w:spacing w:line="360" w:lineRule="auto"/>
        <w:jc w:val="both"/>
      </w:pPr>
      <w:r>
        <w:tab/>
        <w:t xml:space="preserve">Las religiones monoteístas han de respetar la heterodoxia y el librepensamiento en su seno. Los periodos más brillantes de la historia de estas religiones </w:t>
      </w:r>
      <w:r w:rsidR="00687009">
        <w:t>fueron</w:t>
      </w:r>
      <w:r>
        <w:t xml:space="preserve"> aquellos en los que se reconoci</w:t>
      </w:r>
      <w:r w:rsidR="00687009">
        <w:t>ó</w:t>
      </w:r>
      <w:r>
        <w:t>, respet</w:t>
      </w:r>
      <w:r w:rsidR="00687009">
        <w:t>ó</w:t>
      </w:r>
      <w:r>
        <w:t xml:space="preserve"> y practic</w:t>
      </w:r>
      <w:r w:rsidR="00687009">
        <w:t>ó</w:t>
      </w:r>
      <w:r>
        <w:t xml:space="preserve"> la libertad de conciencia, religión, expresión</w:t>
      </w:r>
      <w:r w:rsidR="001920AC">
        <w:t xml:space="preserve"> e</w:t>
      </w:r>
      <w:r>
        <w:t xml:space="preserve"> investigación. “</w:t>
      </w:r>
      <w:r w:rsidR="00687009">
        <w:t>No haya coacción en la religión</w:t>
      </w:r>
      <w:r>
        <w:t>... Que crea quien quiera y que no crea el que no quiera... Dios no se irrita con los que no creen, sino con los que no piensan”, afirma el Corán.</w:t>
      </w:r>
    </w:p>
    <w:p w:rsidR="00470272" w:rsidRDefault="00470272" w:rsidP="00470272">
      <w:pPr>
        <w:spacing w:line="360" w:lineRule="auto"/>
        <w:jc w:val="both"/>
      </w:pPr>
      <w:r>
        <w:t xml:space="preserve">  </w:t>
      </w:r>
      <w:r>
        <w:tab/>
        <w:t>Cuando las religiones monoteístas no han respetado los derechos humanos</w:t>
      </w:r>
      <w:r w:rsidR="00687009">
        <w:t xml:space="preserve"> en seno y en la sociedad</w:t>
      </w:r>
      <w:r>
        <w:t xml:space="preserve">, cuando han perseguido a los </w:t>
      </w:r>
      <w:r w:rsidR="00C92DC5">
        <w:t xml:space="preserve">disidentes, </w:t>
      </w:r>
      <w:r>
        <w:t xml:space="preserve">han sometidos a juicios inquisitoriales a quienes expresaban sus desacuerdos doctrinales y han condenado a </w:t>
      </w:r>
      <w:r w:rsidR="005C5238">
        <w:t>la hoguera</w:t>
      </w:r>
      <w:r>
        <w:t xml:space="preserve"> a los “herejes”, han perdido toda credibilidad.</w:t>
      </w:r>
      <w:r w:rsidR="00687009">
        <w:t xml:space="preserve"> </w:t>
      </w:r>
      <w:r>
        <w:t>¿Cómo pueden hablar del Dios de la vida y luchar contras los ídolos de muerte, cómo pueden defender el derecho a la vida</w:t>
      </w:r>
      <w:r w:rsidR="002C3443">
        <w:t xml:space="preserve"> como</w:t>
      </w:r>
      <w:r>
        <w:t xml:space="preserve"> fuente de </w:t>
      </w:r>
      <w:r w:rsidR="005C5238">
        <w:t xml:space="preserve">todos </w:t>
      </w:r>
      <w:r>
        <w:t xml:space="preserve">los derechos, cuando </w:t>
      </w:r>
      <w:r w:rsidR="002C3443">
        <w:t>mandan matar</w:t>
      </w:r>
      <w:r>
        <w:t xml:space="preserve"> en nombre de Dios? ¿Cómo pueden defender los derechos de Dios, mientras niegan los derechos de  los seres humanos? </w:t>
      </w:r>
    </w:p>
    <w:p w:rsidR="00470272" w:rsidRDefault="00470272" w:rsidP="00470272">
      <w:pPr>
        <w:spacing w:line="360" w:lineRule="auto"/>
        <w:jc w:val="both"/>
      </w:pPr>
      <w:r>
        <w:lastRenderedPageBreak/>
        <w:tab/>
        <w:t xml:space="preserve"> Estas religiones han de renunciar a actuaciones colonizadoras encubiertas bajo el nombre de “misioneras”, activar sus mejores tradiciones emancipatorias, igualitarias, utópicas, y fomentar el diálogo, ya que “sin diálogo el ser humano se atrofia y </w:t>
      </w:r>
      <w:r w:rsidR="00FD3EFA">
        <w:t>las religiones</w:t>
      </w:r>
      <w:r>
        <w:t xml:space="preserve"> se anquilosa</w:t>
      </w:r>
      <w:r w:rsidR="00FD3EFA">
        <w:t>n</w:t>
      </w:r>
      <w:r>
        <w:t>”</w:t>
      </w:r>
      <w:r w:rsidR="001920AC">
        <w:t>, afirma Raimon Panikkar</w:t>
      </w:r>
      <w:r>
        <w:t>. Muchas de las actividades “misioneras” tienen claras connotaciones de conquista, proselitismo</w:t>
      </w:r>
      <w:r w:rsidR="002C3443">
        <w:t xml:space="preserve">, </w:t>
      </w:r>
      <w:r>
        <w:t xml:space="preserve">imposición cultural y  apropiación de las riquezas de los pueblos a los que dicen “misionar”. </w:t>
      </w:r>
    </w:p>
    <w:p w:rsidR="00470272" w:rsidRDefault="00470272" w:rsidP="00470272">
      <w:pPr>
        <w:spacing w:line="360" w:lineRule="auto"/>
        <w:jc w:val="both"/>
      </w:pPr>
      <w:r>
        <w:tab/>
        <w:t xml:space="preserve">“Quien dialoga –escribe Antonio Machado en </w:t>
      </w:r>
      <w:r>
        <w:rPr>
          <w:i/>
        </w:rPr>
        <w:t>Juan de Mairena</w:t>
      </w:r>
      <w:r>
        <w:t xml:space="preserve">-, ciertamente afirma a su vecino, al otro yo; todo manejo de razones –verdades o supuestos- implica convención entre sujetos, o visión común de un objeto ideal”. Pero no basta la razón, sigue diciendo Machado, para crear la convivencia humana; ésta precisa también “la </w:t>
      </w:r>
      <w:r w:rsidRPr="00B73175">
        <w:rPr>
          <w:i/>
        </w:rPr>
        <w:t>comunión cordial</w:t>
      </w:r>
      <w:r>
        <w:t xml:space="preserve">, </w:t>
      </w:r>
      <w:r w:rsidRPr="007246BE">
        <w:rPr>
          <w:i/>
        </w:rPr>
        <w:t>una convergencia de corazones en un mismo objeto de amor</w:t>
      </w:r>
      <w:r>
        <w:t>”</w:t>
      </w:r>
      <w:r w:rsidR="004841BB">
        <w:t>.</w:t>
      </w:r>
    </w:p>
    <w:p w:rsidR="00470272" w:rsidRDefault="00470272" w:rsidP="00470272">
      <w:pPr>
        <w:spacing w:line="360" w:lineRule="auto"/>
        <w:jc w:val="both"/>
      </w:pPr>
      <w:r>
        <w:tab/>
      </w:r>
      <w:r w:rsidR="00687009">
        <w:t xml:space="preserve">El cambio de paradigma </w:t>
      </w:r>
      <w:r w:rsidR="002C3443">
        <w:t xml:space="preserve">de las religiones monoteístas </w:t>
      </w:r>
      <w:r w:rsidR="00687009">
        <w:t xml:space="preserve">implica </w:t>
      </w:r>
      <w:r w:rsidR="00FD3EFA">
        <w:t>poner en</w:t>
      </w:r>
      <w:r>
        <w:t xml:space="preserve"> el primer plano de su actividad no los ritos alejados de la vida, sino la ética. “La ética es la filosofía primera”</w:t>
      </w:r>
      <w:r w:rsidR="001920AC">
        <w:t>,</w:t>
      </w:r>
      <w:r w:rsidR="001920AC" w:rsidRPr="001920AC">
        <w:t xml:space="preserve"> </w:t>
      </w:r>
      <w:r w:rsidR="001920AC">
        <w:t>asevera el filósofo Emmanuel Lévinas</w:t>
      </w:r>
      <w:r>
        <w:t xml:space="preserve">. </w:t>
      </w:r>
      <w:r w:rsidR="001920AC">
        <w:t>Me atrevo a afirmar que l</w:t>
      </w:r>
      <w:r w:rsidR="00C92DC5">
        <w:t xml:space="preserve">a </w:t>
      </w:r>
      <w:r>
        <w:t xml:space="preserve">ética es </w:t>
      </w:r>
      <w:r w:rsidR="004432DC">
        <w:t xml:space="preserve">también </w:t>
      </w:r>
      <w:r>
        <w:t>la teología primera en todas las religiones</w:t>
      </w:r>
      <w:r w:rsidR="002C3443">
        <w:t>.</w:t>
      </w:r>
      <w:r>
        <w:t xml:space="preserve"> Pero no la ética neoliberal del mercado, que es excluyente</w:t>
      </w:r>
      <w:r w:rsidR="002C3443">
        <w:t xml:space="preserve"> e insolidaria</w:t>
      </w:r>
      <w:r w:rsidR="00C92DC5">
        <w:t>,</w:t>
      </w:r>
      <w:r>
        <w:t xml:space="preserve"> ni la </w:t>
      </w:r>
      <w:r w:rsidR="00FD3EFA">
        <w:t xml:space="preserve">supuesta </w:t>
      </w:r>
      <w:r>
        <w:t xml:space="preserve">ética de los movimientos terroristas, que siembran la muerte por doquier, sino la ética de la justicia y </w:t>
      </w:r>
      <w:r w:rsidR="001920AC">
        <w:t xml:space="preserve">la </w:t>
      </w:r>
      <w:r>
        <w:t>solidaridad, de la paz y la defensa de la naturaleza, la ética liberadora de las religiones y los movimientos sociales, que luchan por la utopía de otro mundo posible donde quepa</w:t>
      </w:r>
      <w:r w:rsidR="00C92DC5">
        <w:t>n todos los mundos.</w:t>
      </w:r>
      <w:r>
        <w:t xml:space="preserve"> </w:t>
      </w:r>
    </w:p>
    <w:p w:rsidR="005C5238" w:rsidRDefault="00470272" w:rsidP="00470272">
      <w:pPr>
        <w:spacing w:line="360" w:lineRule="auto"/>
        <w:jc w:val="both"/>
        <w:rPr>
          <w:color w:val="000000" w:themeColor="text1"/>
          <w:shd w:val="clear" w:color="auto" w:fill="FFFFFF"/>
        </w:rPr>
      </w:pPr>
      <w:r>
        <w:tab/>
        <w:t xml:space="preserve">Y junto a la ética, la denuncia de la injusticia estructural, </w:t>
      </w:r>
      <w:r w:rsidR="001920AC">
        <w:t xml:space="preserve">las </w:t>
      </w:r>
      <w:r>
        <w:t xml:space="preserve">desigualdades de todo tipo entre las dos orillas, </w:t>
      </w:r>
      <w:r w:rsidR="001920AC">
        <w:t xml:space="preserve">los </w:t>
      </w:r>
      <w:r>
        <w:t xml:space="preserve">crímenes de lesa humanidad, </w:t>
      </w:r>
      <w:r w:rsidR="001920AC">
        <w:t xml:space="preserve">las </w:t>
      </w:r>
      <w:r>
        <w:t xml:space="preserve">agresiones contra el medio ambiente, la </w:t>
      </w:r>
      <w:r w:rsidR="002C3443">
        <w:t xml:space="preserve">fosa común de muertos del Sur en que se ha convertido el </w:t>
      </w:r>
      <w:r w:rsidR="002C3443">
        <w:rPr>
          <w:i/>
        </w:rPr>
        <w:t>Mare nostrum</w:t>
      </w:r>
      <w:r w:rsidR="002C3443">
        <w:t xml:space="preserve">. </w:t>
      </w:r>
      <w:r>
        <w:t xml:space="preserve">“No se puede tolerar que el mar Mediterráneo se convierta en un gran cementerio y negar acogida a los hombres, mujeres, niños y niñas que llegan a diario, muchas veces muriendo en el intento en las </w:t>
      </w:r>
      <w:r w:rsidRPr="004F7EED">
        <w:rPr>
          <w:color w:val="000000" w:themeColor="text1"/>
          <w:shd w:val="clear" w:color="auto" w:fill="FFFFFF"/>
        </w:rPr>
        <w:t>barcazas. Actuar de otra forma es negar la dignidad humana de los inmigrantes</w:t>
      </w:r>
      <w:r w:rsidR="002C3443">
        <w:rPr>
          <w:color w:val="000000" w:themeColor="text1"/>
          <w:shd w:val="clear" w:color="auto" w:fill="FFFFFF"/>
        </w:rPr>
        <w:t xml:space="preserve"> y refugiados</w:t>
      </w:r>
      <w:r w:rsidRPr="004F7EED">
        <w:rPr>
          <w:color w:val="000000" w:themeColor="text1"/>
          <w:shd w:val="clear" w:color="auto" w:fill="FFFFFF"/>
        </w:rPr>
        <w:t>, favorecer el trabajo esclavo y alimentar las continuas tensiones sociales</w:t>
      </w:r>
      <w:r>
        <w:rPr>
          <w:color w:val="000000" w:themeColor="text1"/>
          <w:shd w:val="clear" w:color="auto" w:fill="FFFFFF"/>
        </w:rPr>
        <w:t>”</w:t>
      </w:r>
      <w:r w:rsidR="001920AC">
        <w:rPr>
          <w:color w:val="000000" w:themeColor="text1"/>
          <w:shd w:val="clear" w:color="auto" w:fill="FFFFFF"/>
        </w:rPr>
        <w:t>, declar</w:t>
      </w:r>
      <w:r w:rsidR="001920AC">
        <w:t>ó el papa Francisco en el discurso pronunciado en el Parlamento Europeo.</w:t>
      </w:r>
    </w:p>
    <w:p w:rsidR="00470272" w:rsidRDefault="00470272" w:rsidP="00470272">
      <w:pPr>
        <w:spacing w:line="360" w:lineRule="auto"/>
        <w:jc w:val="both"/>
      </w:pPr>
      <w:r>
        <w:rPr>
          <w:color w:val="000000" w:themeColor="text1"/>
          <w:shd w:val="clear" w:color="auto" w:fill="FFFFFF"/>
        </w:rPr>
        <w:tab/>
      </w:r>
      <w:r w:rsidRPr="004F7EED">
        <w:rPr>
          <w:color w:val="000000" w:themeColor="text1"/>
          <w:shd w:val="clear" w:color="auto" w:fill="FFFFFF"/>
        </w:rPr>
        <w:t>Es necesario, siguió diciendo Francisco a los parlamentarios europeos, “poner en práctica legislaciones adecuadas que sean capaces de tutelar los derechos de los ciudadanos europeos y de garantizar al mismo tiempo la acogida a los inmigrantes</w:t>
      </w:r>
      <w:r w:rsidR="00A669A6">
        <w:rPr>
          <w:color w:val="000000" w:themeColor="text1"/>
          <w:shd w:val="clear" w:color="auto" w:fill="FFFFFF"/>
        </w:rPr>
        <w:t xml:space="preserve"> y refugiados</w:t>
      </w:r>
      <w:r w:rsidRPr="004F7EED">
        <w:rPr>
          <w:color w:val="000000" w:themeColor="text1"/>
          <w:shd w:val="clear" w:color="auto" w:fill="FFFFFF"/>
        </w:rPr>
        <w:t xml:space="preserve">” y “adoptar políticas correctas, valientes y concretas que ayuden a los países de origen en su desarrollo sociopolítico y a la superación de sus conflictos internos – causa principal de este fenómeno –, en lugar de políticas de interés, que aumentan y </w:t>
      </w:r>
      <w:r w:rsidRPr="004F7EED">
        <w:rPr>
          <w:color w:val="000000" w:themeColor="text1"/>
          <w:shd w:val="clear" w:color="auto" w:fill="FFFFFF"/>
        </w:rPr>
        <w:lastRenderedPageBreak/>
        <w:t>alimentan estos conflictos. Es necesario actuar sobre las causas y no solamente sobre los efectos”.</w:t>
      </w:r>
    </w:p>
    <w:p w:rsidR="00470272" w:rsidRDefault="00470272" w:rsidP="00470272">
      <w:pPr>
        <w:spacing w:line="360" w:lineRule="auto"/>
        <w:jc w:val="both"/>
      </w:pPr>
      <w:r>
        <w:tab/>
        <w:t xml:space="preserve">Los pueblos del sur del Mediterráneo y los inmigrantes subsaharianos que </w:t>
      </w:r>
      <w:r w:rsidR="008861B6">
        <w:t>llegan a</w:t>
      </w:r>
      <w:r>
        <w:t xml:space="preserve"> sus aguas no pueden sentirse derrotados. Han de empoderarse y decir con Fernando Pessoa “llevo en mí la conciencia de la derrota como un pendón de victoria”. Las religiones pueden contribuir a evitar que la conciencia de derrota se instale en las mentes y en la vida de los inmigrantes y </w:t>
      </w:r>
      <w:r w:rsidR="00A669A6">
        <w:t>refugiados</w:t>
      </w:r>
      <w:r w:rsidR="008861B6">
        <w:t xml:space="preserve"> y pueden</w:t>
      </w:r>
      <w:r w:rsidR="00A669A6">
        <w:t xml:space="preserve"> </w:t>
      </w:r>
      <w:r>
        <w:t xml:space="preserve">ayudar a levantar su pendón de victoria. </w:t>
      </w:r>
    </w:p>
    <w:p w:rsidR="00470272" w:rsidRDefault="00470272" w:rsidP="00470272">
      <w:pPr>
        <w:spacing w:line="360" w:lineRule="auto"/>
        <w:jc w:val="both"/>
      </w:pPr>
      <w:r>
        <w:tab/>
        <w:t xml:space="preserve">De lo contrario, habrán renunciado a la orientación liberadora que las inspiró en sus orígenes, habrán perdido el norte y vagarán sin rumbo. Más aún: se habrán hecho el </w:t>
      </w:r>
      <w:r w:rsidRPr="00A669A6">
        <w:rPr>
          <w:i/>
        </w:rPr>
        <w:t>harakiri</w:t>
      </w:r>
      <w:r>
        <w:t xml:space="preserve"> y no podrán responsabilizar a supuestos enemigos externos de la crisis profunda que sufren hoy. Ellas son las principales responsables de su fracaso. </w:t>
      </w:r>
    </w:p>
    <w:p w:rsidR="008D1ABF" w:rsidRDefault="00470272" w:rsidP="008861B6">
      <w:pPr>
        <w:spacing w:line="360" w:lineRule="auto"/>
        <w:jc w:val="both"/>
      </w:pPr>
      <w:r>
        <w:tab/>
        <w:t xml:space="preserve">Diría más: quizá </w:t>
      </w:r>
      <w:r w:rsidRPr="00355C85">
        <w:t>hasta Dios se d</w:t>
      </w:r>
      <w:r>
        <w:t>é</w:t>
      </w:r>
      <w:r w:rsidRPr="00355C85">
        <w:t xml:space="preserve"> de baja de </w:t>
      </w:r>
      <w:r w:rsidR="00A669A6">
        <w:t>todas las religiones,</w:t>
      </w:r>
      <w:r>
        <w:t xml:space="preserve"> huya despavorido</w:t>
      </w:r>
      <w:r w:rsidR="00A669A6">
        <w:t xml:space="preserve"> -</w:t>
      </w:r>
      <w:r>
        <w:t>como apuntara un chiste del Roto</w:t>
      </w:r>
      <w:r w:rsidR="00A669A6">
        <w:t>-</w:t>
      </w:r>
      <w:r w:rsidRPr="00355C85">
        <w:t xml:space="preserve"> y prohib</w:t>
      </w:r>
      <w:r>
        <w:t>a</w:t>
      </w:r>
      <w:r w:rsidRPr="00355C85">
        <w:t xml:space="preserve"> utilizar su nombre en vano</w:t>
      </w:r>
      <w:r>
        <w:t xml:space="preserve"> para evitar que se siembre la muerte apelando a él, una muerte s</w:t>
      </w:r>
      <w:r w:rsidRPr="00355C85">
        <w:t>electiva, que se ceba en quienes tienen la vida más amenazada</w:t>
      </w:r>
      <w:r>
        <w:t>, en este caso, las personas refugiadas que huyen del infierno de la muerte</w:t>
      </w:r>
      <w:r w:rsidRPr="00AE1B2E">
        <w:rPr>
          <w:i/>
        </w:rPr>
        <w:t>.</w:t>
      </w:r>
      <w:r>
        <w:t xml:space="preserve"> Al abandono de </w:t>
      </w:r>
      <w:r w:rsidR="00A669A6">
        <w:t>l</w:t>
      </w:r>
      <w:r>
        <w:t xml:space="preserve">as religiones por parte de </w:t>
      </w:r>
      <w:r w:rsidR="00A669A6">
        <w:t>D</w:t>
      </w:r>
      <w:r>
        <w:t>ios, seguirá, bien seguro, la retirada de no pocos creyentes monoteístas</w:t>
      </w:r>
      <w:r w:rsidR="00A669A6">
        <w:t>.</w:t>
      </w:r>
    </w:p>
    <w:p w:rsidR="004C6325" w:rsidRDefault="00A669A6" w:rsidP="004C6325">
      <w:pPr>
        <w:spacing w:line="360" w:lineRule="auto"/>
        <w:jc w:val="both"/>
      </w:pPr>
      <w:r>
        <w:tab/>
      </w:r>
      <w:r w:rsidR="006C59BC">
        <w:t>En suma, s</w:t>
      </w:r>
      <w:r>
        <w:t>i las religiones quieren frenar dich</w:t>
      </w:r>
      <w:r w:rsidR="00C33A1B">
        <w:t>o</w:t>
      </w:r>
      <w:r>
        <w:t xml:space="preserve"> </w:t>
      </w:r>
      <w:r w:rsidR="006C59BC">
        <w:t>abandono masivo</w:t>
      </w:r>
      <w:r>
        <w:t xml:space="preserve">, </w:t>
      </w:r>
      <w:r w:rsidR="006C59BC">
        <w:t>de</w:t>
      </w:r>
      <w:r w:rsidR="00C92DC5">
        <w:t>ben transitar</w:t>
      </w:r>
      <w:r w:rsidR="00C92DC5" w:rsidRPr="00470272">
        <w:t xml:space="preserve"> por el camino de la ética liberadora, más allá de los </w:t>
      </w:r>
      <w:r w:rsidR="00FF5E3B">
        <w:t>integrismos doctrinales;</w:t>
      </w:r>
      <w:r w:rsidR="00C92DC5">
        <w:t xml:space="preserve"> </w:t>
      </w:r>
      <w:r w:rsidR="00C92DC5" w:rsidRPr="00470272">
        <w:t>por la senda de la hospitalidad con las personas migrantes, refugiadas, desplazadas, más allá de las endogamias</w:t>
      </w:r>
      <w:r w:rsidR="00FF5E3B">
        <w:t xml:space="preserve"> religiosas;</w:t>
      </w:r>
      <w:r w:rsidR="00C92DC5" w:rsidRPr="00470272">
        <w:t xml:space="preserve"> por las vere</w:t>
      </w:r>
      <w:r w:rsidR="008861B6">
        <w:t xml:space="preserve">das de la justicia y la equidad, </w:t>
      </w:r>
      <w:r w:rsidR="00C92DC5" w:rsidRPr="00470272">
        <w:t xml:space="preserve">más allá de la </w:t>
      </w:r>
      <w:r w:rsidR="008861B6">
        <w:t>“</w:t>
      </w:r>
      <w:r w:rsidR="00C92DC5" w:rsidRPr="00470272">
        <w:t>caridad</w:t>
      </w:r>
      <w:r w:rsidR="008861B6">
        <w:t>”</w:t>
      </w:r>
      <w:r w:rsidR="00C92DC5" w:rsidRPr="00470272">
        <w:t>, que suele quedarse en el asistencialismo</w:t>
      </w:r>
      <w:r w:rsidR="00B51E1F">
        <w:t xml:space="preserve"> y la beneficencia</w:t>
      </w:r>
      <w:r w:rsidR="006C59BC">
        <w:t>;</w:t>
      </w:r>
      <w:r w:rsidR="008861B6">
        <w:t xml:space="preserve"> por </w:t>
      </w:r>
      <w:r w:rsidR="00FF5E3B">
        <w:t>la vía del</w:t>
      </w:r>
      <w:r w:rsidR="00C92DC5" w:rsidRPr="00470272">
        <w:t xml:space="preserve"> pluralismo </w:t>
      </w:r>
      <w:r w:rsidR="008861B6">
        <w:t>inter</w:t>
      </w:r>
      <w:r w:rsidR="00C92DC5" w:rsidRPr="00470272">
        <w:t>cultural</w:t>
      </w:r>
      <w:r>
        <w:t xml:space="preserve"> e</w:t>
      </w:r>
      <w:r w:rsidR="004C6325">
        <w:t xml:space="preserve"> i</w:t>
      </w:r>
      <w:r w:rsidR="008861B6">
        <w:t>n</w:t>
      </w:r>
      <w:r w:rsidR="00C92DC5" w:rsidRPr="00470272">
        <w:t>terétnico, más allá del discurso y de las prácticas xenofóbicas; por el reconocimiento del derecho a la diferencia y de la diferencia como derecho, sin que desemboque en desigualdad; por el camino de la igualdad de género, más allá del sexismo y del patriarcado</w:t>
      </w:r>
      <w:r w:rsidR="004C6325">
        <w:t xml:space="preserve">, </w:t>
      </w:r>
      <w:r w:rsidR="00B51E1F">
        <w:t>tan arraigados en las religiones; por la defensa de los pueblos oprimidos y olvidados y de las culturas originarias denegadas, por más allá de los etnocentrismos y neocolonialismos.</w:t>
      </w:r>
      <w:r w:rsidR="00C92DC5" w:rsidRPr="00470272">
        <w:t xml:space="preserve">  </w:t>
      </w:r>
    </w:p>
    <w:p w:rsidR="004C6325" w:rsidRDefault="004C6325" w:rsidP="004C6325">
      <w:pPr>
        <w:spacing w:line="360" w:lineRule="auto"/>
        <w:jc w:val="both"/>
      </w:pPr>
    </w:p>
    <w:p w:rsidR="004C6325" w:rsidRPr="004C6325" w:rsidRDefault="004C6325" w:rsidP="004C6325">
      <w:pPr>
        <w:spacing w:line="360" w:lineRule="auto"/>
        <w:jc w:val="both"/>
      </w:pPr>
      <w:r w:rsidRPr="008861B6">
        <w:rPr>
          <w:b/>
        </w:rPr>
        <w:t>Juan José Tamayo</w:t>
      </w:r>
      <w:r>
        <w:t xml:space="preserve"> es d</w:t>
      </w:r>
      <w:r w:rsidRPr="004C6325">
        <w:t>irector de la Cátedra de Teología y Ciencias de las Religiones, de la Universidad Carlos III de Madrid</w:t>
      </w:r>
      <w:r w:rsidR="00C86BDB">
        <w:t>,</w:t>
      </w:r>
      <w:r>
        <w:t xml:space="preserve"> y autor de </w:t>
      </w:r>
      <w:r>
        <w:rPr>
          <w:i/>
        </w:rPr>
        <w:t>Invitación a la utopía. Estudio histórico para tiempos de crisis</w:t>
      </w:r>
      <w:r>
        <w:t xml:space="preserve"> (Editorial Trotta)</w:t>
      </w:r>
      <w:r w:rsidR="004432DC">
        <w:t>.</w:t>
      </w:r>
    </w:p>
    <w:p w:rsidR="004C6325" w:rsidRDefault="004C6325" w:rsidP="00A669A6">
      <w:pPr>
        <w:spacing w:line="360" w:lineRule="auto"/>
        <w:jc w:val="both"/>
      </w:pPr>
    </w:p>
    <w:sectPr w:rsidR="004C6325" w:rsidSect="008D1AB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A70" w:rsidRDefault="00255A70" w:rsidP="00470272">
      <w:r>
        <w:separator/>
      </w:r>
    </w:p>
  </w:endnote>
  <w:endnote w:type="continuationSeparator" w:id="0">
    <w:p w:rsidR="00255A70" w:rsidRDefault="00255A70" w:rsidP="0047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A70" w:rsidRDefault="00255A70" w:rsidP="00470272">
      <w:r>
        <w:separator/>
      </w:r>
    </w:p>
  </w:footnote>
  <w:footnote w:type="continuationSeparator" w:id="0">
    <w:p w:rsidR="00255A70" w:rsidRDefault="00255A70" w:rsidP="0047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9435"/>
      <w:docPartObj>
        <w:docPartGallery w:val="Page Numbers (Top of Page)"/>
        <w:docPartUnique/>
      </w:docPartObj>
    </w:sdtPr>
    <w:sdtEndPr/>
    <w:sdtContent>
      <w:p w:rsidR="002648A4" w:rsidRDefault="00255A70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D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48A4" w:rsidRDefault="002648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C5284"/>
    <w:multiLevelType w:val="hybridMultilevel"/>
    <w:tmpl w:val="43EAE9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72"/>
    <w:rsid w:val="00052F24"/>
    <w:rsid w:val="00181FA9"/>
    <w:rsid w:val="001920AC"/>
    <w:rsid w:val="001B6C0D"/>
    <w:rsid w:val="00214589"/>
    <w:rsid w:val="00255A70"/>
    <w:rsid w:val="002648A4"/>
    <w:rsid w:val="00274BFA"/>
    <w:rsid w:val="002C3443"/>
    <w:rsid w:val="002D6633"/>
    <w:rsid w:val="002E3146"/>
    <w:rsid w:val="002F5DD8"/>
    <w:rsid w:val="004432DC"/>
    <w:rsid w:val="00470272"/>
    <w:rsid w:val="004841BB"/>
    <w:rsid w:val="004C6325"/>
    <w:rsid w:val="005C5238"/>
    <w:rsid w:val="006724C5"/>
    <w:rsid w:val="00687009"/>
    <w:rsid w:val="006C59BC"/>
    <w:rsid w:val="00740BBC"/>
    <w:rsid w:val="008169A3"/>
    <w:rsid w:val="0082183A"/>
    <w:rsid w:val="008331C7"/>
    <w:rsid w:val="008861B6"/>
    <w:rsid w:val="00887558"/>
    <w:rsid w:val="008C016F"/>
    <w:rsid w:val="008D1ABF"/>
    <w:rsid w:val="00912305"/>
    <w:rsid w:val="00974873"/>
    <w:rsid w:val="009D025F"/>
    <w:rsid w:val="00A30148"/>
    <w:rsid w:val="00A669A6"/>
    <w:rsid w:val="00A71BC3"/>
    <w:rsid w:val="00A96867"/>
    <w:rsid w:val="00AA1807"/>
    <w:rsid w:val="00AB3DA2"/>
    <w:rsid w:val="00AE0D8C"/>
    <w:rsid w:val="00AE47A2"/>
    <w:rsid w:val="00B455AA"/>
    <w:rsid w:val="00B51E1F"/>
    <w:rsid w:val="00B76C4F"/>
    <w:rsid w:val="00B80D03"/>
    <w:rsid w:val="00BC5908"/>
    <w:rsid w:val="00BC7658"/>
    <w:rsid w:val="00C1748D"/>
    <w:rsid w:val="00C33A1B"/>
    <w:rsid w:val="00C55AAE"/>
    <w:rsid w:val="00C86BDB"/>
    <w:rsid w:val="00C8715F"/>
    <w:rsid w:val="00C92DC5"/>
    <w:rsid w:val="00D11DC6"/>
    <w:rsid w:val="00D45D09"/>
    <w:rsid w:val="00DC3E81"/>
    <w:rsid w:val="00DE32F5"/>
    <w:rsid w:val="00F71A5B"/>
    <w:rsid w:val="00FB0593"/>
    <w:rsid w:val="00FD3EFA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D42F2-784A-4295-9F2E-D7EF9EBD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70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nhideWhenUsed/>
    <w:rsid w:val="0047027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7027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unhideWhenUsed/>
    <w:rsid w:val="00470272"/>
    <w:rPr>
      <w:vertAlign w:val="superscript"/>
    </w:rPr>
  </w:style>
  <w:style w:type="paragraph" w:styleId="Prrafodelista">
    <w:name w:val="List Paragraph"/>
    <w:basedOn w:val="Normal"/>
    <w:uiPriority w:val="34"/>
    <w:qFormat/>
    <w:rsid w:val="004702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648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48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648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648A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José Tamayo</dc:creator>
  <cp:lastModifiedBy>Néstor Da Costa</cp:lastModifiedBy>
  <cp:revision>2</cp:revision>
  <cp:lastPrinted>2016-08-01T07:27:00Z</cp:lastPrinted>
  <dcterms:created xsi:type="dcterms:W3CDTF">2016-10-11T10:22:00Z</dcterms:created>
  <dcterms:modified xsi:type="dcterms:W3CDTF">2016-10-11T10:22:00Z</dcterms:modified>
</cp:coreProperties>
</file>