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shd w:val="clear" w:color="auto" w:fill="FFFCF5"/>
        <w:tblCellMar>
          <w:left w:w="0" w:type="dxa"/>
          <w:right w:w="0" w:type="dxa"/>
        </w:tblCellMar>
        <w:tblLook w:val="04A0"/>
      </w:tblPr>
      <w:tblGrid>
        <w:gridCol w:w="9000"/>
      </w:tblGrid>
      <w:tr w:rsidR="004A075F" w:rsidRPr="004A075F" w:rsidTr="004A075F">
        <w:tc>
          <w:tcPr>
            <w:tcW w:w="0" w:type="auto"/>
            <w:shd w:val="clear" w:color="auto" w:fill="FFFCF5"/>
            <w:hideMark/>
          </w:tcPr>
          <w:p w:rsidR="004A075F" w:rsidRPr="004A075F" w:rsidRDefault="004A075F" w:rsidP="004A075F">
            <w:pPr>
              <w:spacing w:after="0" w:line="240" w:lineRule="auto"/>
              <w:jc w:val="center"/>
              <w:rPr>
                <w:rFonts w:ascii="Arial" w:eastAsia="Times New Roman" w:hAnsi="Arial" w:cs="Arial"/>
                <w:color w:val="000000"/>
                <w:sz w:val="24"/>
                <w:szCs w:val="24"/>
                <w:lang w:eastAsia="es-ES"/>
              </w:rPr>
            </w:pPr>
          </w:p>
        </w:tc>
      </w:tr>
      <w:tr w:rsidR="004A075F" w:rsidRPr="004A075F" w:rsidTr="004A075F">
        <w:tc>
          <w:tcPr>
            <w:tcW w:w="0" w:type="auto"/>
            <w:shd w:val="clear" w:color="auto" w:fill="FFFCF5"/>
            <w:hideMark/>
          </w:tcPr>
          <w:tbl>
            <w:tblPr>
              <w:tblW w:w="9000" w:type="dxa"/>
              <w:jc w:val="center"/>
              <w:shd w:val="clear" w:color="auto" w:fill="FFFCF5"/>
              <w:tblCellMar>
                <w:left w:w="0" w:type="dxa"/>
                <w:right w:w="0" w:type="dxa"/>
              </w:tblCellMar>
              <w:tblLook w:val="04A0"/>
            </w:tblPr>
            <w:tblGrid>
              <w:gridCol w:w="9000"/>
            </w:tblGrid>
            <w:tr w:rsidR="004A075F" w:rsidRPr="004A075F">
              <w:trPr>
                <w:jc w:val="center"/>
              </w:trPr>
              <w:tc>
                <w:tcPr>
                  <w:tcW w:w="0" w:type="auto"/>
                  <w:shd w:val="clear" w:color="auto" w:fill="FFFCF5"/>
                  <w:hideMark/>
                </w:tcPr>
                <w:tbl>
                  <w:tblPr>
                    <w:tblW w:w="5000" w:type="pct"/>
                    <w:tblCellMar>
                      <w:left w:w="0" w:type="dxa"/>
                      <w:right w:w="0" w:type="dxa"/>
                    </w:tblCellMar>
                    <w:tblLook w:val="04A0"/>
                  </w:tblPr>
                  <w:tblGrid>
                    <w:gridCol w:w="9000"/>
                  </w:tblGrid>
                  <w:tr w:rsidR="004A075F" w:rsidRPr="004A075F">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tblPr>
                        <w:tblGrid>
                          <w:gridCol w:w="8730"/>
                        </w:tblGrid>
                        <w:tr w:rsidR="004A075F" w:rsidRPr="004A075F">
                          <w:tc>
                            <w:tcPr>
                              <w:tcW w:w="0" w:type="auto"/>
                              <w:tcMar>
                                <w:top w:w="0" w:type="dxa"/>
                                <w:left w:w="135" w:type="dxa"/>
                                <w:bottom w:w="0" w:type="dxa"/>
                                <w:right w:w="135" w:type="dxa"/>
                              </w:tcMar>
                              <w:hideMark/>
                            </w:tcPr>
                            <w:p w:rsidR="004A075F" w:rsidRPr="004A075F" w:rsidRDefault="004A075F" w:rsidP="004A075F">
                              <w:pPr>
                                <w:spacing w:after="0" w:line="240" w:lineRule="auto"/>
                                <w:rPr>
                                  <w:rFonts w:ascii="Arial" w:eastAsia="Times New Roman" w:hAnsi="Arial" w:cs="Arial"/>
                                  <w:sz w:val="24"/>
                                  <w:szCs w:val="24"/>
                                  <w:lang w:eastAsia="es-ES"/>
                                </w:rPr>
                              </w:pPr>
                              <w:hyperlink r:id="rId4" w:tgtFrame="_blank" w:history="1">
                                <w:r>
                                  <w:rPr>
                                    <w:rFonts w:ascii="Arial" w:eastAsia="Times New Roman" w:hAnsi="Arial" w:cs="Arial"/>
                                    <w:noProof/>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810000" cy="781050"/>
                                      <wp:effectExtent l="19050" t="0" r="0" b="0"/>
                                      <wp:wrapSquare wrapText="bothSides"/>
                                      <wp:docPr id="1" name="Imagen 2" descr="CEP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
                                                <a:hlinkClick r:id="rId4" tgtFrame="&quot;_blank&quot;"/>
                                              </pic:cNvPr>
                                              <pic:cNvPicPr>
                                                <a:picLocks noChangeAspect="1" noChangeArrowheads="1"/>
                                              </pic:cNvPicPr>
                                            </pic:nvPicPr>
                                            <pic:blipFill>
                                              <a:blip r:embed="rId5"/>
                                              <a:srcRect/>
                                              <a:stretch>
                                                <a:fillRect/>
                                              </a:stretch>
                                            </pic:blipFill>
                                            <pic:spPr bwMode="auto">
                                              <a:xfrm>
                                                <a:off x="0" y="0"/>
                                                <a:ext cx="3810000" cy="781050"/>
                                              </a:xfrm>
                                              <a:prstGeom prst="rect">
                                                <a:avLst/>
                                              </a:prstGeom>
                                              <a:noFill/>
                                              <a:ln w="9525">
                                                <a:noFill/>
                                                <a:miter lim="800000"/>
                                                <a:headEnd/>
                                                <a:tailEnd/>
                                              </a:ln>
                                            </pic:spPr>
                                          </pic:pic>
                                        </a:graphicData>
                                      </a:graphic>
                                    </wp:anchor>
                                  </w:drawing>
                                </w:r>
                              </w:hyperlink>
                            </w:p>
                          </w:tc>
                        </w:tr>
                      </w:tbl>
                      <w:p w:rsidR="004A075F" w:rsidRPr="004A075F" w:rsidRDefault="004A075F" w:rsidP="004A075F">
                        <w:pPr>
                          <w:spacing w:after="0" w:line="240" w:lineRule="auto"/>
                          <w:rPr>
                            <w:rFonts w:ascii="Arial" w:eastAsia="Times New Roman" w:hAnsi="Arial" w:cs="Arial"/>
                            <w:sz w:val="24"/>
                            <w:szCs w:val="24"/>
                            <w:lang w:eastAsia="es-ES"/>
                          </w:rPr>
                        </w:pPr>
                      </w:p>
                    </w:tc>
                  </w:tr>
                </w:tbl>
                <w:p w:rsidR="004A075F" w:rsidRPr="004A075F" w:rsidRDefault="004A075F" w:rsidP="004A075F">
                  <w:pPr>
                    <w:spacing w:after="0" w:line="240" w:lineRule="auto"/>
                    <w:rPr>
                      <w:rFonts w:ascii="Arial" w:eastAsia="Times New Roman" w:hAnsi="Arial" w:cs="Arial"/>
                      <w:vanish/>
                      <w:sz w:val="24"/>
                      <w:szCs w:val="24"/>
                      <w:lang w:eastAsia="es-ES"/>
                    </w:rPr>
                  </w:pPr>
                </w:p>
                <w:tbl>
                  <w:tblPr>
                    <w:tblW w:w="5000" w:type="pct"/>
                    <w:tblCellMar>
                      <w:left w:w="0" w:type="dxa"/>
                      <w:right w:w="0" w:type="dxa"/>
                    </w:tblCellMar>
                    <w:tblLook w:val="04A0"/>
                  </w:tblPr>
                  <w:tblGrid>
                    <w:gridCol w:w="9000"/>
                  </w:tblGrid>
                  <w:tr w:rsidR="004A075F" w:rsidRPr="004A075F">
                    <w:tc>
                      <w:tcPr>
                        <w:tcW w:w="0" w:type="auto"/>
                        <w:hideMark/>
                      </w:tcPr>
                      <w:tbl>
                        <w:tblPr>
                          <w:tblpPr w:leftFromText="45" w:rightFromText="45" w:vertAnchor="text"/>
                          <w:tblW w:w="5000" w:type="pct"/>
                          <w:tblCellMar>
                            <w:left w:w="0" w:type="dxa"/>
                            <w:right w:w="0" w:type="dxa"/>
                          </w:tblCellMar>
                          <w:tblLook w:val="04A0"/>
                        </w:tblPr>
                        <w:tblGrid>
                          <w:gridCol w:w="9000"/>
                        </w:tblGrid>
                        <w:tr w:rsidR="004A075F" w:rsidRPr="004A075F">
                          <w:tc>
                            <w:tcPr>
                              <w:tcW w:w="0" w:type="auto"/>
                              <w:tcMar>
                                <w:top w:w="135" w:type="dxa"/>
                                <w:left w:w="270" w:type="dxa"/>
                                <w:bottom w:w="135" w:type="dxa"/>
                                <w:right w:w="270" w:type="dxa"/>
                              </w:tcMar>
                              <w:vAlign w:val="center"/>
                              <w:hideMark/>
                            </w:tcPr>
                            <w:tbl>
                              <w:tblPr>
                                <w:tblW w:w="5000" w:type="pct"/>
                                <w:shd w:val="clear" w:color="auto" w:fill="E9E9E9"/>
                                <w:tblCellMar>
                                  <w:top w:w="270" w:type="dxa"/>
                                  <w:left w:w="270" w:type="dxa"/>
                                  <w:bottom w:w="270" w:type="dxa"/>
                                  <w:right w:w="270" w:type="dxa"/>
                                </w:tblCellMar>
                                <w:tblLook w:val="04A0"/>
                              </w:tblPr>
                              <w:tblGrid>
                                <w:gridCol w:w="8460"/>
                              </w:tblGrid>
                              <w:tr w:rsidR="004A075F" w:rsidRPr="004A075F">
                                <w:tc>
                                  <w:tcPr>
                                    <w:tcW w:w="0" w:type="auto"/>
                                    <w:shd w:val="clear" w:color="auto" w:fill="E9E9E9"/>
                                    <w:hideMark/>
                                  </w:tcPr>
                                  <w:p w:rsidR="004A075F" w:rsidRPr="004A075F" w:rsidRDefault="004A075F" w:rsidP="004A075F">
                                    <w:pPr>
                                      <w:spacing w:after="0" w:line="480" w:lineRule="atLeast"/>
                                      <w:jc w:val="center"/>
                                      <w:outlineLvl w:val="0"/>
                                      <w:rPr>
                                        <w:rFonts w:ascii="Arial" w:eastAsia="Times New Roman" w:hAnsi="Arial" w:cs="Arial"/>
                                        <w:b/>
                                        <w:bCs/>
                                        <w:color w:val="5A5050"/>
                                        <w:spacing w:val="-15"/>
                                        <w:kern w:val="36"/>
                                        <w:sz w:val="48"/>
                                        <w:szCs w:val="48"/>
                                        <w:lang w:eastAsia="es-ES"/>
                                      </w:rPr>
                                    </w:pPr>
                                    <w:hyperlink r:id="rId6" w:tgtFrame="_blank" w:history="1">
                                      <w:r w:rsidRPr="004A075F">
                                        <w:rPr>
                                          <w:rFonts w:ascii="Arial" w:eastAsia="Times New Roman" w:hAnsi="Arial" w:cs="Arial"/>
                                          <w:b/>
                                          <w:bCs/>
                                          <w:color w:val="5091B0"/>
                                          <w:spacing w:val="-15"/>
                                          <w:kern w:val="36"/>
                                          <w:sz w:val="48"/>
                                          <w:szCs w:val="48"/>
                                          <w:u w:val="single"/>
                                          <w:lang w:eastAsia="es-ES"/>
                                        </w:rPr>
                                        <w:t>Líderes de la oposición hondureña son asesinados mientras Washington le reparte dinero al gobierno represivo y a los militares</w:t>
                                      </w:r>
                                      <w:r w:rsidRPr="004A075F">
                                        <w:rPr>
                                          <w:rFonts w:ascii="Arial" w:eastAsia="Times New Roman" w:hAnsi="Arial" w:cs="Arial"/>
                                          <w:b/>
                                          <w:bCs/>
                                          <w:color w:val="5091B0"/>
                                          <w:spacing w:val="-15"/>
                                          <w:kern w:val="36"/>
                                          <w:sz w:val="48"/>
                                          <w:szCs w:val="48"/>
                                          <w:lang w:eastAsia="es-ES"/>
                                        </w:rPr>
                                        <w:t> </w:t>
                                      </w:r>
                                      <w:r w:rsidRPr="004A075F">
                                        <w:rPr>
                                          <w:rFonts w:ascii="Arial" w:eastAsia="Times New Roman" w:hAnsi="Arial" w:cs="Arial"/>
                                          <w:b/>
                                          <w:bCs/>
                                          <w:color w:val="5091B0"/>
                                          <w:spacing w:val="-15"/>
                                          <w:kern w:val="36"/>
                                          <w:sz w:val="48"/>
                                          <w:szCs w:val="48"/>
                                          <w:lang w:eastAsia="es-ES"/>
                                        </w:rPr>
                                        <w:br/>
                                      </w:r>
                                    </w:hyperlink>
                                  </w:p>
                                  <w:p w:rsidR="004A075F" w:rsidRPr="004A075F" w:rsidRDefault="004A075F" w:rsidP="004A075F">
                                    <w:pPr>
                                      <w:spacing w:after="0" w:line="405" w:lineRule="atLeast"/>
                                      <w:outlineLvl w:val="2"/>
                                      <w:rPr>
                                        <w:rFonts w:ascii="Helvetica" w:eastAsia="Times New Roman" w:hAnsi="Helvetica" w:cs="Helvetica"/>
                                        <w:b/>
                                        <w:bCs/>
                                        <w:color w:val="5A5050"/>
                                        <w:spacing w:val="-15"/>
                                        <w:sz w:val="27"/>
                                        <w:szCs w:val="27"/>
                                        <w:lang w:eastAsia="es-ES"/>
                                      </w:rPr>
                                    </w:pPr>
                                    <w:r w:rsidRPr="004A075F">
                                      <w:rPr>
                                        <w:rFonts w:ascii="Helvetica" w:eastAsia="Times New Roman" w:hAnsi="Helvetica" w:cs="Helvetica"/>
                                        <w:b/>
                                        <w:bCs/>
                                        <w:color w:val="5A5050"/>
                                        <w:spacing w:val="-15"/>
                                        <w:sz w:val="27"/>
                                        <w:szCs w:val="27"/>
                                        <w:lang w:eastAsia="es-ES"/>
                                      </w:rPr>
                                      <w:br/>
                                      <w:t xml:space="preserve">por Mark </w:t>
                                    </w:r>
                                    <w:proofErr w:type="spellStart"/>
                                    <w:r w:rsidRPr="004A075F">
                                      <w:rPr>
                                        <w:rFonts w:ascii="Helvetica" w:eastAsia="Times New Roman" w:hAnsi="Helvetica" w:cs="Helvetica"/>
                                        <w:b/>
                                        <w:bCs/>
                                        <w:color w:val="5A5050"/>
                                        <w:spacing w:val="-15"/>
                                        <w:sz w:val="27"/>
                                        <w:szCs w:val="27"/>
                                        <w:lang w:eastAsia="es-ES"/>
                                      </w:rPr>
                                      <w:t>Weisbrot</w:t>
                                    </w:r>
                                    <w:proofErr w:type="spellEnd"/>
                                  </w:p>
                                </w:tc>
                              </w:tr>
                            </w:tbl>
                            <w:p w:rsidR="004A075F" w:rsidRPr="004A075F" w:rsidRDefault="004A075F" w:rsidP="004A075F">
                              <w:pPr>
                                <w:spacing w:after="0" w:line="240" w:lineRule="auto"/>
                                <w:rPr>
                                  <w:rFonts w:ascii="Arial" w:eastAsia="Times New Roman" w:hAnsi="Arial" w:cs="Arial"/>
                                  <w:sz w:val="24"/>
                                  <w:szCs w:val="24"/>
                                  <w:lang w:eastAsia="es-ES"/>
                                </w:rPr>
                              </w:pPr>
                            </w:p>
                          </w:tc>
                        </w:tr>
                      </w:tbl>
                      <w:p w:rsidR="004A075F" w:rsidRPr="004A075F" w:rsidRDefault="004A075F" w:rsidP="004A075F">
                        <w:pPr>
                          <w:spacing w:after="0" w:line="240" w:lineRule="auto"/>
                          <w:rPr>
                            <w:rFonts w:ascii="Arial" w:eastAsia="Times New Roman" w:hAnsi="Arial" w:cs="Arial"/>
                            <w:sz w:val="24"/>
                            <w:szCs w:val="24"/>
                            <w:lang w:eastAsia="es-ES"/>
                          </w:rPr>
                        </w:pPr>
                      </w:p>
                    </w:tc>
                  </w:tr>
                </w:tbl>
                <w:p w:rsidR="004A075F" w:rsidRPr="004A075F" w:rsidRDefault="004A075F" w:rsidP="004A075F">
                  <w:pPr>
                    <w:spacing w:after="0" w:line="240" w:lineRule="auto"/>
                    <w:rPr>
                      <w:rFonts w:ascii="Arial" w:eastAsia="Times New Roman" w:hAnsi="Arial" w:cs="Arial"/>
                      <w:sz w:val="24"/>
                      <w:szCs w:val="24"/>
                      <w:lang w:eastAsia="es-ES"/>
                    </w:rPr>
                  </w:pPr>
                </w:p>
              </w:tc>
            </w:tr>
          </w:tbl>
          <w:p w:rsidR="004A075F" w:rsidRPr="004A075F" w:rsidRDefault="004A075F" w:rsidP="004A075F">
            <w:pPr>
              <w:spacing w:after="0" w:line="240" w:lineRule="auto"/>
              <w:jc w:val="center"/>
              <w:rPr>
                <w:rFonts w:ascii="Arial" w:eastAsia="Times New Roman" w:hAnsi="Arial" w:cs="Arial"/>
                <w:color w:val="000000"/>
                <w:sz w:val="24"/>
                <w:szCs w:val="24"/>
                <w:lang w:eastAsia="es-ES"/>
              </w:rPr>
            </w:pPr>
          </w:p>
        </w:tc>
      </w:tr>
      <w:tr w:rsidR="004A075F" w:rsidRPr="004A075F" w:rsidTr="004A075F">
        <w:tc>
          <w:tcPr>
            <w:tcW w:w="0" w:type="auto"/>
            <w:shd w:val="clear" w:color="auto" w:fill="FFFCF5"/>
            <w:hideMark/>
          </w:tcPr>
          <w:tbl>
            <w:tblPr>
              <w:tblW w:w="9000" w:type="dxa"/>
              <w:jc w:val="center"/>
              <w:shd w:val="clear" w:color="auto" w:fill="FFFCF5"/>
              <w:tblCellMar>
                <w:left w:w="0" w:type="dxa"/>
                <w:right w:w="0" w:type="dxa"/>
              </w:tblCellMar>
              <w:tblLook w:val="04A0"/>
            </w:tblPr>
            <w:tblGrid>
              <w:gridCol w:w="9000"/>
            </w:tblGrid>
            <w:tr w:rsidR="004A075F" w:rsidRPr="004A075F">
              <w:trPr>
                <w:jc w:val="center"/>
              </w:trPr>
              <w:tc>
                <w:tcPr>
                  <w:tcW w:w="0" w:type="auto"/>
                  <w:shd w:val="clear" w:color="auto" w:fill="FFFCF5"/>
                  <w:hideMark/>
                </w:tcPr>
                <w:tbl>
                  <w:tblPr>
                    <w:tblW w:w="5000" w:type="pct"/>
                    <w:tblCellMar>
                      <w:left w:w="0" w:type="dxa"/>
                      <w:right w:w="0" w:type="dxa"/>
                    </w:tblCellMar>
                    <w:tblLook w:val="04A0"/>
                  </w:tblPr>
                  <w:tblGrid>
                    <w:gridCol w:w="9000"/>
                  </w:tblGrid>
                  <w:tr w:rsidR="004A075F" w:rsidRPr="004A075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9000"/>
                        </w:tblGrid>
                        <w:tr w:rsidR="004A075F" w:rsidRPr="004A075F">
                          <w:tc>
                            <w:tcPr>
                              <w:tcW w:w="0" w:type="auto"/>
                              <w:tcMar>
                                <w:top w:w="0" w:type="dxa"/>
                                <w:left w:w="270" w:type="dxa"/>
                                <w:bottom w:w="135" w:type="dxa"/>
                                <w:right w:w="270" w:type="dxa"/>
                              </w:tcMar>
                              <w:hideMark/>
                            </w:tcPr>
                            <w:p w:rsidR="004A075F" w:rsidRPr="004A075F" w:rsidRDefault="004A075F" w:rsidP="004A075F">
                              <w:pPr>
                                <w:spacing w:before="240" w:after="24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i/>
                                  <w:iCs/>
                                  <w:color w:val="5A5050"/>
                                  <w:sz w:val="21"/>
                                  <w:szCs w:val="21"/>
                                  <w:lang w:eastAsia="es-ES"/>
                                </w:rPr>
                                <w:t>Este artículo fue publicado por</w:t>
                              </w:r>
                              <w:r w:rsidRPr="004A075F">
                                <w:rPr>
                                  <w:rFonts w:ascii="Verdana" w:eastAsia="Times New Roman" w:hAnsi="Verdana" w:cs="Times New Roman"/>
                                  <w:i/>
                                  <w:iCs/>
                                  <w:color w:val="5A5050"/>
                                  <w:sz w:val="21"/>
                                  <w:lang w:eastAsia="es-ES"/>
                                </w:rPr>
                                <w:t> </w:t>
                              </w:r>
                              <w:hyperlink r:id="rId7" w:tgtFrame="_blank" w:history="1">
                                <w:r w:rsidRPr="004A075F">
                                  <w:rPr>
                                    <w:rFonts w:ascii="Verdana" w:eastAsia="Times New Roman" w:hAnsi="Verdana" w:cs="Times New Roman"/>
                                    <w:i/>
                                    <w:iCs/>
                                    <w:color w:val="5091B0"/>
                                    <w:sz w:val="21"/>
                                    <w:u w:val="single"/>
                                    <w:lang w:eastAsia="es-ES"/>
                                  </w:rPr>
                                  <w:t>El Libertador</w:t>
                                </w:r>
                              </w:hyperlink>
                              <w:r w:rsidRPr="004A075F">
                                <w:rPr>
                                  <w:rFonts w:ascii="Verdana" w:eastAsia="Times New Roman" w:hAnsi="Verdana" w:cs="Times New Roman"/>
                                  <w:i/>
                                  <w:iCs/>
                                  <w:color w:val="5A5050"/>
                                  <w:sz w:val="21"/>
                                  <w:lang w:eastAsia="es-ES"/>
                                </w:rPr>
                                <w:t> </w:t>
                              </w:r>
                              <w:r w:rsidRPr="004A075F">
                                <w:rPr>
                                  <w:rFonts w:ascii="Verdana" w:eastAsia="Times New Roman" w:hAnsi="Verdana" w:cs="Times New Roman"/>
                                  <w:i/>
                                  <w:iCs/>
                                  <w:color w:val="5A5050"/>
                                  <w:sz w:val="21"/>
                                  <w:szCs w:val="21"/>
                                  <w:lang w:eastAsia="es-ES"/>
                                </w:rPr>
                                <w:t>el 28 de octubre de 2016. Una versión de este artículo fue publicada en inglés por</w:t>
                              </w:r>
                              <w:r w:rsidRPr="004A075F">
                                <w:rPr>
                                  <w:rFonts w:ascii="Verdana" w:eastAsia="Times New Roman" w:hAnsi="Verdana" w:cs="Times New Roman"/>
                                  <w:i/>
                                  <w:iCs/>
                                  <w:color w:val="5A5050"/>
                                  <w:sz w:val="21"/>
                                  <w:lang w:eastAsia="es-ES"/>
                                </w:rPr>
                                <w:t> </w:t>
                              </w:r>
                              <w:proofErr w:type="spellStart"/>
                              <w:r w:rsidRPr="004A075F">
                                <w:rPr>
                                  <w:rFonts w:ascii="Verdana" w:eastAsia="Times New Roman" w:hAnsi="Verdana" w:cs="Times New Roman"/>
                                  <w:i/>
                                  <w:iCs/>
                                  <w:color w:val="5A5050"/>
                                  <w:sz w:val="21"/>
                                  <w:szCs w:val="21"/>
                                  <w:lang w:eastAsia="es-ES"/>
                                </w:rPr>
                                <w:fldChar w:fldCharType="begin"/>
                              </w:r>
                              <w:r w:rsidRPr="004A075F">
                                <w:rPr>
                                  <w:rFonts w:ascii="Verdana" w:eastAsia="Times New Roman" w:hAnsi="Verdana" w:cs="Times New Roman"/>
                                  <w:i/>
                                  <w:iCs/>
                                  <w:color w:val="5A5050"/>
                                  <w:sz w:val="21"/>
                                  <w:szCs w:val="21"/>
                                  <w:lang w:eastAsia="es-ES"/>
                                </w:rPr>
                                <w:instrText xml:space="preserve"> HYPERLINK "http://org.salsalabs.com/dia/track.jsp?v=2&amp;c=btLVbrYCgw%2FN9TpBkxPaJVpGJRw5plLH" \t "_blank" </w:instrText>
                              </w:r>
                              <w:r w:rsidRPr="004A075F">
                                <w:rPr>
                                  <w:rFonts w:ascii="Verdana" w:eastAsia="Times New Roman" w:hAnsi="Verdana" w:cs="Times New Roman"/>
                                  <w:i/>
                                  <w:iCs/>
                                  <w:color w:val="5A5050"/>
                                  <w:sz w:val="21"/>
                                  <w:szCs w:val="21"/>
                                  <w:lang w:eastAsia="es-ES"/>
                                </w:rPr>
                                <w:fldChar w:fldCharType="separate"/>
                              </w:r>
                              <w:r w:rsidRPr="004A075F">
                                <w:rPr>
                                  <w:rFonts w:ascii="Verdana" w:eastAsia="Times New Roman" w:hAnsi="Verdana" w:cs="Times New Roman"/>
                                  <w:i/>
                                  <w:iCs/>
                                  <w:color w:val="5091B0"/>
                                  <w:sz w:val="21"/>
                                  <w:u w:val="single"/>
                                  <w:lang w:eastAsia="es-ES"/>
                                </w:rPr>
                                <w:t>The</w:t>
                              </w:r>
                              <w:proofErr w:type="spellEnd"/>
                              <w:r w:rsidRPr="004A075F">
                                <w:rPr>
                                  <w:rFonts w:ascii="Verdana" w:eastAsia="Times New Roman" w:hAnsi="Verdana" w:cs="Times New Roman"/>
                                  <w:i/>
                                  <w:iCs/>
                                  <w:color w:val="5091B0"/>
                                  <w:sz w:val="21"/>
                                  <w:u w:val="single"/>
                                  <w:lang w:eastAsia="es-ES"/>
                                </w:rPr>
                                <w:t xml:space="preserve"> Hill</w:t>
                              </w:r>
                              <w:r w:rsidRPr="004A075F">
                                <w:rPr>
                                  <w:rFonts w:ascii="Verdana" w:eastAsia="Times New Roman" w:hAnsi="Verdana" w:cs="Times New Roman"/>
                                  <w:i/>
                                  <w:iCs/>
                                  <w:color w:val="5091B0"/>
                                  <w:sz w:val="21"/>
                                  <w:lang w:eastAsia="es-ES"/>
                                </w:rPr>
                                <w:t> </w:t>
                              </w:r>
                              <w:r w:rsidRPr="004A075F">
                                <w:rPr>
                                  <w:rFonts w:ascii="Verdana" w:eastAsia="Times New Roman" w:hAnsi="Verdana" w:cs="Times New Roman"/>
                                  <w:i/>
                                  <w:iCs/>
                                  <w:color w:val="5A5050"/>
                                  <w:sz w:val="21"/>
                                  <w:szCs w:val="21"/>
                                  <w:lang w:eastAsia="es-ES"/>
                                </w:rPr>
                                <w:fldChar w:fldCharType="end"/>
                              </w:r>
                              <w:r w:rsidRPr="004A075F">
                                <w:rPr>
                                  <w:rFonts w:ascii="Verdana" w:eastAsia="Times New Roman" w:hAnsi="Verdana" w:cs="Times New Roman"/>
                                  <w:i/>
                                  <w:iCs/>
                                  <w:color w:val="5A5050"/>
                                  <w:sz w:val="21"/>
                                  <w:szCs w:val="21"/>
                                  <w:lang w:eastAsia="es-ES"/>
                                </w:rPr>
                                <w:t>el 25 de octubre de 2016. Si el texto a continuación aparece distorsionado, por favor pulse</w:t>
                              </w:r>
                              <w:r w:rsidRPr="004A075F">
                                <w:rPr>
                                  <w:rFonts w:ascii="Verdana" w:eastAsia="Times New Roman" w:hAnsi="Verdana" w:cs="Times New Roman"/>
                                  <w:i/>
                                  <w:iCs/>
                                  <w:color w:val="5A5050"/>
                                  <w:sz w:val="21"/>
                                  <w:lang w:eastAsia="es-ES"/>
                                </w:rPr>
                                <w:t> </w:t>
                              </w:r>
                              <w:proofErr w:type="spellStart"/>
                              <w:r w:rsidRPr="004A075F">
                                <w:rPr>
                                  <w:rFonts w:ascii="Verdana" w:eastAsia="Times New Roman" w:hAnsi="Verdana" w:cs="Times New Roman"/>
                                  <w:i/>
                                  <w:iCs/>
                                  <w:color w:val="5A5050"/>
                                  <w:sz w:val="21"/>
                                  <w:szCs w:val="21"/>
                                  <w:lang w:eastAsia="es-ES"/>
                                </w:rPr>
                                <w:fldChar w:fldCharType="begin"/>
                              </w:r>
                              <w:r w:rsidRPr="004A075F">
                                <w:rPr>
                                  <w:rFonts w:ascii="Verdana" w:eastAsia="Times New Roman" w:hAnsi="Verdana" w:cs="Times New Roman"/>
                                  <w:i/>
                                  <w:iCs/>
                                  <w:color w:val="5A5050"/>
                                  <w:sz w:val="21"/>
                                  <w:szCs w:val="21"/>
                                  <w:lang w:eastAsia="es-ES"/>
                                </w:rPr>
                                <w:instrText xml:space="preserve"> HYPERLINK "http://org.salsalabs.com/dia/track.jsp?v=2&amp;c=8wReCiT9IxOx4Pp0rdgo8VpGJRw5plLH" \t "_blank" </w:instrText>
                              </w:r>
                              <w:r w:rsidRPr="004A075F">
                                <w:rPr>
                                  <w:rFonts w:ascii="Verdana" w:eastAsia="Times New Roman" w:hAnsi="Verdana" w:cs="Times New Roman"/>
                                  <w:i/>
                                  <w:iCs/>
                                  <w:color w:val="5A5050"/>
                                  <w:sz w:val="21"/>
                                  <w:szCs w:val="21"/>
                                  <w:lang w:eastAsia="es-ES"/>
                                </w:rPr>
                                <w:fldChar w:fldCharType="separate"/>
                              </w:r>
                              <w:r w:rsidRPr="004A075F">
                                <w:rPr>
                                  <w:rFonts w:ascii="Verdana" w:eastAsia="Times New Roman" w:hAnsi="Verdana" w:cs="Times New Roman"/>
                                  <w:i/>
                                  <w:iCs/>
                                  <w:color w:val="5091B0"/>
                                  <w:sz w:val="21"/>
                                  <w:u w:val="single"/>
                                  <w:lang w:eastAsia="es-ES"/>
                                </w:rPr>
                                <w:t>aquí</w:t>
                              </w:r>
                              <w:r w:rsidRPr="004A075F">
                                <w:rPr>
                                  <w:rFonts w:ascii="Verdana" w:eastAsia="Times New Roman" w:hAnsi="Verdana" w:cs="Times New Roman"/>
                                  <w:i/>
                                  <w:iCs/>
                                  <w:color w:val="5A5050"/>
                                  <w:sz w:val="21"/>
                                  <w:szCs w:val="21"/>
                                  <w:lang w:eastAsia="es-ES"/>
                                </w:rPr>
                                <w:fldChar w:fldCharType="end"/>
                              </w:r>
                              <w:r w:rsidRPr="004A075F">
                                <w:rPr>
                                  <w:rFonts w:ascii="Verdana" w:eastAsia="Times New Roman" w:hAnsi="Verdana" w:cs="Times New Roman"/>
                                  <w:i/>
                                  <w:iCs/>
                                  <w:color w:val="5A5050"/>
                                  <w:sz w:val="21"/>
                                  <w:szCs w:val="21"/>
                                  <w:lang w:eastAsia="es-ES"/>
                                </w:rPr>
                                <w:t>para</w:t>
                              </w:r>
                              <w:proofErr w:type="spellEnd"/>
                              <w:r w:rsidRPr="004A075F">
                                <w:rPr>
                                  <w:rFonts w:ascii="Verdana" w:eastAsia="Times New Roman" w:hAnsi="Verdana" w:cs="Times New Roman"/>
                                  <w:i/>
                                  <w:iCs/>
                                  <w:color w:val="5A5050"/>
                                  <w:sz w:val="21"/>
                                  <w:szCs w:val="21"/>
                                  <w:lang w:eastAsia="es-ES"/>
                                </w:rPr>
                                <w:t xml:space="preserve"> una versión sin errores de formato. Para ver la versión original en inglés, por favor pulse</w:t>
                              </w:r>
                              <w:r w:rsidRPr="004A075F">
                                <w:rPr>
                                  <w:rFonts w:ascii="Verdana" w:eastAsia="Times New Roman" w:hAnsi="Verdana" w:cs="Times New Roman"/>
                                  <w:i/>
                                  <w:iCs/>
                                  <w:color w:val="5A5050"/>
                                  <w:sz w:val="21"/>
                                  <w:lang w:eastAsia="es-ES"/>
                                </w:rPr>
                                <w:t> </w:t>
                              </w:r>
                              <w:hyperlink r:id="rId8" w:tgtFrame="_blank" w:history="1">
                                <w:r w:rsidRPr="004A075F">
                                  <w:rPr>
                                    <w:rFonts w:ascii="Verdana" w:eastAsia="Times New Roman" w:hAnsi="Verdana" w:cs="Times New Roman"/>
                                    <w:i/>
                                    <w:iCs/>
                                    <w:color w:val="5091B0"/>
                                    <w:sz w:val="21"/>
                                    <w:u w:val="single"/>
                                    <w:lang w:eastAsia="es-ES"/>
                                  </w:rPr>
                                  <w:t>aquí</w:t>
                                </w:r>
                              </w:hyperlink>
                              <w:r w:rsidRPr="004A075F">
                                <w:rPr>
                                  <w:rFonts w:ascii="Verdana" w:eastAsia="Times New Roman" w:hAnsi="Verdana" w:cs="Times New Roman"/>
                                  <w:i/>
                                  <w:iCs/>
                                  <w:color w:val="5A5050"/>
                                  <w:sz w:val="21"/>
                                  <w:szCs w:val="21"/>
                                  <w:lang w:eastAsia="es-ES"/>
                                </w:rPr>
                                <w:t>. Si desea publicar este artículo, por favor infórmele a CEPR respondiendo a este mensaje. Si este correo electrónico fue enviado a usted por un tercero,</w:t>
                              </w:r>
                              <w:r w:rsidRPr="004A075F">
                                <w:rPr>
                                  <w:rFonts w:ascii="Verdana" w:eastAsia="Times New Roman" w:hAnsi="Verdana" w:cs="Times New Roman"/>
                                  <w:i/>
                                  <w:iCs/>
                                  <w:color w:val="5A5050"/>
                                  <w:sz w:val="21"/>
                                  <w:lang w:eastAsia="es-ES"/>
                                </w:rPr>
                                <w:t> </w:t>
                              </w:r>
                              <w:hyperlink r:id="rId9" w:tgtFrame="_blank" w:history="1">
                                <w:r w:rsidRPr="004A075F">
                                  <w:rPr>
                                    <w:rFonts w:ascii="Verdana" w:eastAsia="Times New Roman" w:hAnsi="Verdana" w:cs="Times New Roman"/>
                                    <w:i/>
                                    <w:iCs/>
                                    <w:color w:val="5091B0"/>
                                    <w:sz w:val="21"/>
                                    <w:u w:val="single"/>
                                    <w:lang w:eastAsia="es-ES"/>
                                  </w:rPr>
                                  <w:t>suscríbase</w:t>
                                </w:r>
                              </w:hyperlink>
                              <w:r w:rsidRPr="004A075F">
                                <w:rPr>
                                  <w:rFonts w:ascii="Verdana" w:eastAsia="Times New Roman" w:hAnsi="Verdana" w:cs="Times New Roman"/>
                                  <w:i/>
                                  <w:iCs/>
                                  <w:color w:val="5A5050"/>
                                  <w:sz w:val="21"/>
                                  <w:lang w:eastAsia="es-ES"/>
                                </w:rPr>
                                <w:t> </w:t>
                              </w:r>
                              <w:r w:rsidRPr="004A075F">
                                <w:rPr>
                                  <w:rFonts w:ascii="Verdana" w:eastAsia="Times New Roman" w:hAnsi="Verdana" w:cs="Times New Roman"/>
                                  <w:i/>
                                  <w:iCs/>
                                  <w:color w:val="5A5050"/>
                                  <w:sz w:val="21"/>
                                  <w:szCs w:val="21"/>
                                  <w:lang w:eastAsia="es-ES"/>
                                </w:rPr>
                                <w:t>a las listas de correo electrónico de CEPR.</w:t>
                              </w:r>
                            </w:p>
                            <w:p w:rsidR="004A075F" w:rsidRPr="004A075F" w:rsidRDefault="004A075F" w:rsidP="004A075F">
                              <w:pPr>
                                <w:spacing w:after="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color w:val="5A5050"/>
                                  <w:sz w:val="21"/>
                                  <w:szCs w:val="21"/>
                                  <w:lang w:eastAsia="es-ES"/>
                                </w:rPr>
                                <w:pict>
                                  <v:rect id="_x0000_i1025" style="width:0;height:1.5pt" o:hralign="center" o:hrstd="t" o:hr="t" fillcolor="#a0a0a0" stroked="f"/>
                                </w:pict>
                              </w:r>
                            </w:p>
                            <w:p w:rsidR="004A075F" w:rsidRDefault="004A075F" w:rsidP="004A075F">
                              <w:pPr>
                                <w:spacing w:before="240" w:after="24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color w:val="5A5050"/>
                                  <w:sz w:val="21"/>
                                  <w:szCs w:val="21"/>
                                  <w:lang w:eastAsia="es-ES"/>
                                </w:rPr>
                                <w:t>Después del golpe militar contra el gobierno democrático del presidente Manuel Zelaya en 2009, Honduras se ha convertido en</w:t>
                              </w:r>
                              <w:r w:rsidRPr="004A075F">
                                <w:rPr>
                                  <w:rFonts w:ascii="Verdana" w:eastAsia="Times New Roman" w:hAnsi="Verdana" w:cs="Times New Roman"/>
                                  <w:color w:val="5A5050"/>
                                  <w:sz w:val="21"/>
                                  <w:lang w:eastAsia="es-ES"/>
                                </w:rPr>
                                <w:t> </w:t>
                              </w:r>
                              <w:hyperlink r:id="rId10" w:tgtFrame="_blank" w:history="1">
                                <w:r w:rsidRPr="004A075F">
                                  <w:rPr>
                                    <w:rFonts w:ascii="Verdana" w:eastAsia="Times New Roman" w:hAnsi="Verdana" w:cs="Times New Roman"/>
                                    <w:color w:val="5091B0"/>
                                    <w:sz w:val="21"/>
                                    <w:u w:val="single"/>
                                    <w:lang w:eastAsia="es-ES"/>
                                  </w:rPr>
                                  <w:t xml:space="preserve">el país más peligroso del </w:t>
                                </w:r>
                                <w:proofErr w:type="spellStart"/>
                                <w:r w:rsidRPr="004A075F">
                                  <w:rPr>
                                    <w:rFonts w:ascii="Verdana" w:eastAsia="Times New Roman" w:hAnsi="Verdana" w:cs="Times New Roman"/>
                                    <w:color w:val="5091B0"/>
                                    <w:sz w:val="21"/>
                                    <w:u w:val="single"/>
                                    <w:lang w:eastAsia="es-ES"/>
                                  </w:rPr>
                                  <w:t>mundo</w:t>
                                </w:r>
                              </w:hyperlink>
                              <w:r w:rsidRPr="004A075F">
                                <w:rPr>
                                  <w:rFonts w:ascii="Verdana" w:eastAsia="Times New Roman" w:hAnsi="Verdana" w:cs="Times New Roman"/>
                                  <w:color w:val="5A5050"/>
                                  <w:sz w:val="21"/>
                                  <w:szCs w:val="21"/>
                                  <w:lang w:eastAsia="es-ES"/>
                                </w:rPr>
                                <w:t>para</w:t>
                              </w:r>
                              <w:proofErr w:type="spellEnd"/>
                              <w:r w:rsidRPr="004A075F">
                                <w:rPr>
                                  <w:rFonts w:ascii="Verdana" w:eastAsia="Times New Roman" w:hAnsi="Verdana" w:cs="Times New Roman"/>
                                  <w:color w:val="5A5050"/>
                                  <w:sz w:val="21"/>
                                  <w:szCs w:val="21"/>
                                  <w:lang w:eastAsia="es-ES"/>
                                </w:rPr>
                                <w:t xml:space="preserve"> los defensores de los derechos humanos y del medio ambiente. El 17 de octubre,</w:t>
                              </w:r>
                              <w:r w:rsidRPr="004A075F">
                                <w:rPr>
                                  <w:rFonts w:ascii="Verdana" w:eastAsia="Times New Roman" w:hAnsi="Verdana" w:cs="Times New Roman"/>
                                  <w:color w:val="5A5050"/>
                                  <w:sz w:val="21"/>
                                  <w:lang w:eastAsia="es-ES"/>
                                </w:rPr>
                                <w:t> </w:t>
                              </w:r>
                              <w:hyperlink r:id="rId11" w:tgtFrame="_blank" w:history="1">
                                <w:r w:rsidRPr="004A075F">
                                  <w:rPr>
                                    <w:rFonts w:ascii="Verdana" w:eastAsia="Times New Roman" w:hAnsi="Verdana" w:cs="Times New Roman"/>
                                    <w:color w:val="5091B0"/>
                                    <w:sz w:val="21"/>
                                    <w:u w:val="single"/>
                                    <w:lang w:eastAsia="es-ES"/>
                                  </w:rPr>
                                  <w:t>fueron asesinados</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 xml:space="preserve">dos organizadores destacados más, José Ángel Flores y </w:t>
                              </w:r>
                              <w:proofErr w:type="spellStart"/>
                              <w:r w:rsidRPr="004A075F">
                                <w:rPr>
                                  <w:rFonts w:ascii="Verdana" w:eastAsia="Times New Roman" w:hAnsi="Verdana" w:cs="Times New Roman"/>
                                  <w:color w:val="5A5050"/>
                                  <w:sz w:val="21"/>
                                  <w:szCs w:val="21"/>
                                  <w:lang w:eastAsia="es-ES"/>
                                </w:rPr>
                                <w:t>Silmer</w:t>
                              </w:r>
                              <w:proofErr w:type="spellEnd"/>
                              <w:r w:rsidRPr="004A075F">
                                <w:rPr>
                                  <w:rFonts w:ascii="Verdana" w:eastAsia="Times New Roman" w:hAnsi="Verdana" w:cs="Times New Roman"/>
                                  <w:color w:val="5A5050"/>
                                  <w:sz w:val="21"/>
                                  <w:szCs w:val="21"/>
                                  <w:lang w:eastAsia="es-ES"/>
                                </w:rPr>
                                <w:t xml:space="preserve"> Dionisio George, en Colón. Flores era el Presidente del Movimiento Unificado Campesino del Aguan (MUCA) y George era un conocido líder de la misma organización.</w:t>
                              </w:r>
                            </w:p>
                            <w:p w:rsidR="004A075F" w:rsidRDefault="004A075F" w:rsidP="004A075F">
                              <w:pPr>
                                <w:spacing w:before="240" w:after="240" w:line="315" w:lineRule="atLeast"/>
                                <w:jc w:val="both"/>
                                <w:rPr>
                                  <w:rFonts w:ascii="Verdana" w:eastAsia="Times New Roman" w:hAnsi="Verdana" w:cs="Times New Roman"/>
                                  <w:color w:val="5A5050"/>
                                  <w:sz w:val="21"/>
                                  <w:lang w:eastAsia="es-ES"/>
                                </w:rPr>
                              </w:pPr>
                              <w:r w:rsidRPr="004A075F">
                                <w:rPr>
                                  <w:rFonts w:ascii="Verdana" w:eastAsia="Times New Roman" w:hAnsi="Verdana" w:cs="Times New Roman"/>
                                  <w:color w:val="5A5050"/>
                                  <w:sz w:val="21"/>
                                  <w:szCs w:val="21"/>
                                  <w:lang w:eastAsia="es-ES"/>
                                </w:rPr>
                                <w:br/>
                                <w:t>Esto fue precedido el 9 de octubre por el</w:t>
                              </w:r>
                              <w:r w:rsidRPr="004A075F">
                                <w:rPr>
                                  <w:rFonts w:ascii="Verdana" w:eastAsia="Times New Roman" w:hAnsi="Verdana" w:cs="Times New Roman"/>
                                  <w:color w:val="5A5050"/>
                                  <w:sz w:val="21"/>
                                  <w:lang w:eastAsia="es-ES"/>
                                </w:rPr>
                                <w:t> </w:t>
                              </w:r>
                              <w:hyperlink r:id="rId12" w:tgtFrame="_blank" w:history="1">
                                <w:r w:rsidRPr="004A075F">
                                  <w:rPr>
                                    <w:rFonts w:ascii="Verdana" w:eastAsia="Times New Roman" w:hAnsi="Verdana" w:cs="Times New Roman"/>
                                    <w:color w:val="5091B0"/>
                                    <w:sz w:val="21"/>
                                    <w:u w:val="single"/>
                                    <w:lang w:eastAsia="es-ES"/>
                                  </w:rPr>
                                  <w:t>intento de asesinato</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 xml:space="preserve">de Tomás Gómez </w:t>
                              </w:r>
                              <w:proofErr w:type="spellStart"/>
                              <w:r w:rsidRPr="004A075F">
                                <w:rPr>
                                  <w:rFonts w:ascii="Verdana" w:eastAsia="Times New Roman" w:hAnsi="Verdana" w:cs="Times New Roman"/>
                                  <w:color w:val="5A5050"/>
                                  <w:sz w:val="21"/>
                                  <w:szCs w:val="21"/>
                                  <w:lang w:eastAsia="es-ES"/>
                                </w:rPr>
                                <w:t>Membreño</w:t>
                              </w:r>
                              <w:proofErr w:type="spellEnd"/>
                              <w:r w:rsidRPr="004A075F">
                                <w:rPr>
                                  <w:rFonts w:ascii="Verdana" w:eastAsia="Times New Roman" w:hAnsi="Verdana" w:cs="Times New Roman"/>
                                  <w:color w:val="5A5050"/>
                                  <w:sz w:val="21"/>
                                  <w:szCs w:val="21"/>
                                  <w:lang w:eastAsia="es-ES"/>
                                </w:rPr>
                                <w:t xml:space="preserve">, el coordinador general del Consejo Cívico de Organizaciones Populares e Indígenas de Honduras (COPINH) y de Alexander García </w:t>
                              </w:r>
                              <w:proofErr w:type="spellStart"/>
                              <w:r w:rsidRPr="004A075F">
                                <w:rPr>
                                  <w:rFonts w:ascii="Verdana" w:eastAsia="Times New Roman" w:hAnsi="Verdana" w:cs="Times New Roman"/>
                                  <w:color w:val="5A5050"/>
                                  <w:sz w:val="21"/>
                                  <w:szCs w:val="21"/>
                                  <w:lang w:eastAsia="es-ES"/>
                                </w:rPr>
                                <w:t>Sorto</w:t>
                              </w:r>
                              <w:proofErr w:type="spellEnd"/>
                              <w:r w:rsidRPr="004A075F">
                                <w:rPr>
                                  <w:rFonts w:ascii="Verdana" w:eastAsia="Times New Roman" w:hAnsi="Verdana" w:cs="Times New Roman"/>
                                  <w:color w:val="5A5050"/>
                                  <w:sz w:val="21"/>
                                  <w:szCs w:val="21"/>
                                  <w:lang w:eastAsia="es-ES"/>
                                </w:rPr>
                                <w:t>, líder comunitario de COPINH.</w:t>
                              </w:r>
                              <w:r w:rsidRPr="004A075F">
                                <w:rPr>
                                  <w:rFonts w:ascii="Verdana" w:eastAsia="Times New Roman" w:hAnsi="Verdana" w:cs="Times New Roman"/>
                                  <w:color w:val="5A5050"/>
                                  <w:sz w:val="21"/>
                                  <w:lang w:eastAsia="es-ES"/>
                                </w:rPr>
                                <w:t> </w:t>
                              </w:r>
                            </w:p>
                            <w:p w:rsidR="004A075F" w:rsidRDefault="004A075F" w:rsidP="004A075F">
                              <w:pPr>
                                <w:spacing w:before="240" w:after="240" w:line="315" w:lineRule="atLeast"/>
                                <w:jc w:val="both"/>
                                <w:rPr>
                                  <w:rFonts w:ascii="Verdana" w:eastAsia="Times New Roman" w:hAnsi="Verdana" w:cs="Times New Roman"/>
                                  <w:color w:val="5A5050"/>
                                  <w:sz w:val="21"/>
                                  <w:szCs w:val="21"/>
                                  <w:lang w:eastAsia="es-ES"/>
                                </w:rPr>
                              </w:pPr>
                            </w:p>
                            <w:p w:rsidR="004A075F" w:rsidRDefault="004A075F" w:rsidP="004A075F">
                              <w:pPr>
                                <w:spacing w:before="240" w:after="240" w:line="315" w:lineRule="atLeast"/>
                                <w:jc w:val="both"/>
                                <w:rPr>
                                  <w:rFonts w:ascii="Verdana" w:eastAsia="Times New Roman" w:hAnsi="Verdana" w:cs="Times New Roman"/>
                                  <w:color w:val="5A5050"/>
                                  <w:sz w:val="21"/>
                                  <w:lang w:eastAsia="es-ES"/>
                                </w:rPr>
                              </w:pPr>
                              <w:r w:rsidRPr="004A075F">
                                <w:rPr>
                                  <w:rFonts w:ascii="Verdana" w:eastAsia="Times New Roman" w:hAnsi="Verdana" w:cs="Times New Roman"/>
                                  <w:color w:val="5A5050"/>
                                  <w:sz w:val="21"/>
                                  <w:szCs w:val="21"/>
                                  <w:lang w:eastAsia="es-ES"/>
                                </w:rPr>
                                <w:t xml:space="preserve">Lamentablemente esta ola </w:t>
                              </w:r>
                              <w:proofErr w:type="gramStart"/>
                              <w:r w:rsidRPr="004A075F">
                                <w:rPr>
                                  <w:rFonts w:ascii="Verdana" w:eastAsia="Times New Roman" w:hAnsi="Verdana" w:cs="Times New Roman"/>
                                  <w:color w:val="5A5050"/>
                                  <w:sz w:val="21"/>
                                  <w:szCs w:val="21"/>
                                  <w:lang w:eastAsia="es-ES"/>
                                </w:rPr>
                                <w:t>continua</w:t>
                              </w:r>
                              <w:proofErr w:type="gramEnd"/>
                              <w:r w:rsidRPr="004A075F">
                                <w:rPr>
                                  <w:rFonts w:ascii="Verdana" w:eastAsia="Times New Roman" w:hAnsi="Verdana" w:cs="Times New Roman"/>
                                  <w:color w:val="5A5050"/>
                                  <w:sz w:val="21"/>
                                  <w:szCs w:val="21"/>
                                  <w:lang w:eastAsia="es-ES"/>
                                </w:rPr>
                                <w:t xml:space="preserve"> de violencia política no solo está ligada al gobierno corrupto y represivo de Honduras, sino también al gobierno de Estados Unidos. Washington jugó un papel primordial en la consolidación del golpe militar de 2009 y continúa suministrando decenas de millones de dólares anualmente en ayuda militar y de seguridad a ese gobierno.</w:t>
                              </w:r>
                              <w:r w:rsidRPr="004A075F">
                                <w:rPr>
                                  <w:rFonts w:ascii="Verdana" w:eastAsia="Times New Roman" w:hAnsi="Verdana" w:cs="Times New Roman"/>
                                  <w:color w:val="5A5050"/>
                                  <w:sz w:val="21"/>
                                  <w:lang w:eastAsia="es-ES"/>
                                </w:rPr>
                                <w:t> </w:t>
                              </w:r>
                            </w:p>
                            <w:p w:rsidR="004A075F" w:rsidRDefault="004A075F" w:rsidP="004A075F">
                              <w:pPr>
                                <w:spacing w:before="240" w:after="240" w:line="315" w:lineRule="atLeast"/>
                                <w:jc w:val="both"/>
                                <w:rPr>
                                  <w:rFonts w:ascii="Verdana" w:eastAsia="Times New Roman" w:hAnsi="Verdana" w:cs="Times New Roman"/>
                                  <w:color w:val="5A5050"/>
                                  <w:sz w:val="21"/>
                                  <w:lang w:eastAsia="es-ES"/>
                                </w:rPr>
                              </w:pPr>
                              <w:r w:rsidRPr="004A075F">
                                <w:rPr>
                                  <w:rFonts w:ascii="Verdana" w:eastAsia="Times New Roman" w:hAnsi="Verdana" w:cs="Times New Roman"/>
                                  <w:color w:val="5A5050"/>
                                  <w:sz w:val="21"/>
                                  <w:szCs w:val="21"/>
                                  <w:lang w:eastAsia="es-ES"/>
                                </w:rPr>
                                <w:br/>
                                <w:t>El 2 de marzo fue asesinada Berta Cáceres, coordinadora general del COPINH y</w:t>
                              </w:r>
                              <w:r w:rsidRPr="004A075F">
                                <w:rPr>
                                  <w:rFonts w:ascii="Verdana" w:eastAsia="Times New Roman" w:hAnsi="Verdana" w:cs="Times New Roman"/>
                                  <w:color w:val="5A5050"/>
                                  <w:sz w:val="21"/>
                                  <w:lang w:eastAsia="es-ES"/>
                                </w:rPr>
                                <w:t> </w:t>
                              </w:r>
                              <w:hyperlink r:id="rId13" w:tgtFrame="_blank" w:history="1">
                                <w:r w:rsidRPr="004A075F">
                                  <w:rPr>
                                    <w:rFonts w:ascii="Verdana" w:eastAsia="Times New Roman" w:hAnsi="Verdana" w:cs="Times New Roman"/>
                                    <w:color w:val="5091B0"/>
                                    <w:sz w:val="21"/>
                                    <w:u w:val="single"/>
                                    <w:lang w:eastAsia="es-ES"/>
                                  </w:rPr>
                                  <w:t>ganadora del Premio Medioambiental Goldman en 2015</w:t>
                                </w:r>
                              </w:hyperlink>
                              <w:r w:rsidRPr="004A075F">
                                <w:rPr>
                                  <w:rFonts w:ascii="Verdana" w:eastAsia="Times New Roman" w:hAnsi="Verdana" w:cs="Times New Roman"/>
                                  <w:color w:val="5A5050"/>
                                  <w:sz w:val="21"/>
                                  <w:szCs w:val="21"/>
                                  <w:lang w:eastAsia="es-ES"/>
                                </w:rPr>
                                <w:t>. Ella estaba luchando con cierto éxito contra proyectos que destruían el medio ambiente, los cuales proliferaron después del golpe de 2009. Uno de ellos era el de la construcción de la represa de Agua Zarca, proyecto que amenaza al medio ambiente y los derechos de la comunidad indígena Lenca. El movimiento que ella ayudó a organizar obligó al constructor más importante de represas a nivel mundial a retirarse del proyecto y paralizó la construcción desde el año pasado.</w:t>
                              </w:r>
                              <w:r w:rsidRPr="004A075F">
                                <w:rPr>
                                  <w:rFonts w:ascii="Verdana" w:eastAsia="Times New Roman" w:hAnsi="Verdana" w:cs="Times New Roman"/>
                                  <w:color w:val="5A5050"/>
                                  <w:sz w:val="21"/>
                                  <w:lang w:eastAsia="es-ES"/>
                                </w:rPr>
                                <w:t> </w:t>
                              </w:r>
                            </w:p>
                            <w:p w:rsidR="004A075F" w:rsidRPr="004A075F" w:rsidRDefault="004A075F" w:rsidP="004A075F">
                              <w:pPr>
                                <w:spacing w:before="240" w:after="24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color w:val="5A5050"/>
                                  <w:sz w:val="21"/>
                                  <w:szCs w:val="21"/>
                                  <w:lang w:eastAsia="es-ES"/>
                                </w:rPr>
                                <w:br/>
                                <w:t>Posteriormente, un soldado hondureño le comentó a los medios de comunicación que Berta había sido</w:t>
                              </w:r>
                              <w:r w:rsidRPr="004A075F">
                                <w:rPr>
                                  <w:rFonts w:ascii="Verdana" w:eastAsia="Times New Roman" w:hAnsi="Verdana" w:cs="Times New Roman"/>
                                  <w:color w:val="5A5050"/>
                                  <w:sz w:val="21"/>
                                  <w:lang w:eastAsia="es-ES"/>
                                </w:rPr>
                                <w:t> </w:t>
                              </w:r>
                              <w:hyperlink r:id="rId14" w:tgtFrame="_blank" w:history="1">
                                <w:proofErr w:type="gramStart"/>
                                <w:r w:rsidRPr="004A075F">
                                  <w:rPr>
                                    <w:rFonts w:ascii="Verdana" w:eastAsia="Times New Roman" w:hAnsi="Verdana" w:cs="Times New Roman"/>
                                    <w:color w:val="5091B0"/>
                                    <w:sz w:val="21"/>
                                    <w:u w:val="single"/>
                                    <w:lang w:eastAsia="es-ES"/>
                                  </w:rPr>
                                  <w:t>blanco</w:t>
                                </w:r>
                                <w:proofErr w:type="gramEnd"/>
                                <w:r w:rsidRPr="004A075F">
                                  <w:rPr>
                                    <w:rFonts w:ascii="Verdana" w:eastAsia="Times New Roman" w:hAnsi="Verdana" w:cs="Times New Roman"/>
                                    <w:color w:val="5091B0"/>
                                    <w:sz w:val="21"/>
                                    <w:u w:val="single"/>
                                    <w:lang w:eastAsia="es-ES"/>
                                  </w:rPr>
                                  <w:t xml:space="preserve"> de asesinato</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por las fuerzas armadas.</w:t>
                              </w:r>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br/>
                              </w:r>
                            </w:p>
                            <w:p w:rsidR="004A075F" w:rsidRDefault="004A075F" w:rsidP="004A075F">
                              <w:pPr>
                                <w:spacing w:before="240" w:after="240" w:line="315" w:lineRule="atLeast"/>
                                <w:jc w:val="both"/>
                                <w:rPr>
                                  <w:rFonts w:ascii="Verdana" w:eastAsia="Times New Roman" w:hAnsi="Verdana" w:cs="Times New Roman"/>
                                  <w:color w:val="5A5050"/>
                                  <w:sz w:val="21"/>
                                  <w:lang w:eastAsia="es-ES"/>
                                </w:rPr>
                              </w:pPr>
                              <w:r w:rsidRPr="004A075F">
                                <w:rPr>
                                  <w:rFonts w:ascii="Verdana" w:eastAsia="Times New Roman" w:hAnsi="Verdana" w:cs="Times New Roman"/>
                                  <w:color w:val="5A5050"/>
                                  <w:sz w:val="21"/>
                                  <w:szCs w:val="21"/>
                                  <w:lang w:eastAsia="es-ES"/>
                                </w:rPr>
                                <w:t>El asesinato de Berta Cáceres generó tanta indignación internacional que 42 Miembros del Congreso de Estados Unidos patrocinaron el</w:t>
                              </w:r>
                              <w:r w:rsidRPr="004A075F">
                                <w:rPr>
                                  <w:rFonts w:ascii="Verdana" w:eastAsia="Times New Roman" w:hAnsi="Verdana" w:cs="Times New Roman"/>
                                  <w:color w:val="5A5050"/>
                                  <w:sz w:val="21"/>
                                  <w:lang w:eastAsia="es-ES"/>
                                </w:rPr>
                                <w:t> </w:t>
                              </w:r>
                              <w:hyperlink r:id="rId15" w:tgtFrame="_blank" w:history="1">
                                <w:r w:rsidRPr="004A075F">
                                  <w:rPr>
                                    <w:rFonts w:ascii="Verdana" w:eastAsia="Times New Roman" w:hAnsi="Verdana" w:cs="Times New Roman"/>
                                    <w:color w:val="5091B0"/>
                                    <w:sz w:val="21"/>
                                    <w:u w:val="single"/>
                                    <w:lang w:eastAsia="es-ES"/>
                                  </w:rPr>
                                  <w:t>Proyecto de Ley Berta Cáceres de los Derechos Humanos en Honduras</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(HR 5474). Dicha Ley ordena la suspensión de toda ayuda militar y de seguridad a Honduras hasta que el gobierno hondureño pueda proteger a los activistas sociales y hasta que las fuerzas de seguridad del país dejen de cometer violaciones de los derechos humanos con impunidad, entre otras condiciones.</w:t>
                              </w:r>
                              <w:r w:rsidRPr="004A075F">
                                <w:rPr>
                                  <w:rFonts w:ascii="Verdana" w:eastAsia="Times New Roman" w:hAnsi="Verdana" w:cs="Times New Roman"/>
                                  <w:color w:val="5A5050"/>
                                  <w:sz w:val="21"/>
                                  <w:lang w:eastAsia="es-ES"/>
                                </w:rPr>
                                <w:t> </w:t>
                              </w:r>
                            </w:p>
                            <w:p w:rsidR="004A075F" w:rsidRDefault="004A075F" w:rsidP="004A075F">
                              <w:pPr>
                                <w:spacing w:before="240" w:after="240" w:line="315" w:lineRule="atLeast"/>
                                <w:jc w:val="both"/>
                                <w:rPr>
                                  <w:rFonts w:ascii="Verdana" w:eastAsia="Times New Roman" w:hAnsi="Verdana" w:cs="Times New Roman"/>
                                  <w:color w:val="5A5050"/>
                                  <w:sz w:val="21"/>
                                  <w:lang w:eastAsia="es-ES"/>
                                </w:rPr>
                              </w:pPr>
                              <w:r w:rsidRPr="004A075F">
                                <w:rPr>
                                  <w:rFonts w:ascii="Verdana" w:eastAsia="Times New Roman" w:hAnsi="Verdana" w:cs="Times New Roman"/>
                                  <w:color w:val="5A5050"/>
                                  <w:sz w:val="21"/>
                                  <w:szCs w:val="21"/>
                                  <w:lang w:eastAsia="es-ES"/>
                                </w:rPr>
                                <w:br/>
                                <w:t>Para la consternación de los defensores de los derechos humanos en Honduras y en Estados Unidos, el Departamento de Estado de Estados Unidos</w:t>
                              </w:r>
                              <w:r w:rsidRPr="004A075F">
                                <w:rPr>
                                  <w:rFonts w:ascii="Verdana" w:eastAsia="Times New Roman" w:hAnsi="Verdana" w:cs="Times New Roman"/>
                                  <w:color w:val="5A5050"/>
                                  <w:sz w:val="21"/>
                                  <w:lang w:eastAsia="es-ES"/>
                                </w:rPr>
                                <w:t> </w:t>
                              </w:r>
                              <w:hyperlink r:id="rId16" w:tgtFrame="_blank" w:history="1">
                                <w:r w:rsidRPr="004A075F">
                                  <w:rPr>
                                    <w:rFonts w:ascii="Verdana" w:eastAsia="Times New Roman" w:hAnsi="Verdana" w:cs="Times New Roman"/>
                                    <w:color w:val="5091B0"/>
                                    <w:sz w:val="21"/>
                                    <w:u w:val="single"/>
                                    <w:lang w:eastAsia="es-ES"/>
                                  </w:rPr>
                                  <w:t>certificó</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el 30 de septiembre que Honduras había cumplido con las condiciones de derechos humanos estipuladas para recibir ayuda militar y de seguridad en 2016, a pesar de la violencia que evidencia de lo contrario. Sin esta certificación, Honduras hubiera perdido la mitad de dicha ayuda.</w:t>
                              </w:r>
                              <w:r w:rsidRPr="004A075F">
                                <w:rPr>
                                  <w:rFonts w:ascii="Verdana" w:eastAsia="Times New Roman" w:hAnsi="Verdana" w:cs="Times New Roman"/>
                                  <w:color w:val="5A5050"/>
                                  <w:sz w:val="21"/>
                                  <w:lang w:eastAsia="es-ES"/>
                                </w:rPr>
                                <w:t> </w:t>
                              </w:r>
                            </w:p>
                            <w:p w:rsidR="004A075F" w:rsidRDefault="004A075F" w:rsidP="004A075F">
                              <w:pPr>
                                <w:spacing w:before="240" w:after="240" w:line="315" w:lineRule="atLeast"/>
                                <w:jc w:val="both"/>
                                <w:rPr>
                                  <w:rFonts w:ascii="Verdana" w:eastAsia="Times New Roman" w:hAnsi="Verdana" w:cs="Times New Roman"/>
                                  <w:color w:val="5A5050"/>
                                  <w:sz w:val="21"/>
                                  <w:lang w:eastAsia="es-ES"/>
                                </w:rPr>
                              </w:pPr>
                              <w:r w:rsidRPr="004A075F">
                                <w:rPr>
                                  <w:rFonts w:ascii="Verdana" w:eastAsia="Times New Roman" w:hAnsi="Verdana" w:cs="Times New Roman"/>
                                  <w:color w:val="5A5050"/>
                                  <w:sz w:val="21"/>
                                  <w:szCs w:val="21"/>
                                  <w:lang w:eastAsia="es-ES"/>
                                </w:rPr>
                                <w:br/>
                                <w:t xml:space="preserve">El Proyecto de Ley Berta Cáceres probablemente no será aprobado en el Congreso controlado por el partido Republicano. Algunos líderes republicanos del Congreso estadounidense apoyaron abiertamente el golpe militar de 2009; la Administración de </w:t>
                              </w:r>
                              <w:proofErr w:type="spellStart"/>
                              <w:r w:rsidRPr="004A075F">
                                <w:rPr>
                                  <w:rFonts w:ascii="Verdana" w:eastAsia="Times New Roman" w:hAnsi="Verdana" w:cs="Times New Roman"/>
                                  <w:color w:val="5A5050"/>
                                  <w:sz w:val="21"/>
                                  <w:szCs w:val="21"/>
                                  <w:lang w:eastAsia="es-ES"/>
                                </w:rPr>
                                <w:t>Obama</w:t>
                              </w:r>
                              <w:proofErr w:type="spellEnd"/>
                              <w:r w:rsidRPr="004A075F">
                                <w:rPr>
                                  <w:rFonts w:ascii="Verdana" w:eastAsia="Times New Roman" w:hAnsi="Verdana" w:cs="Times New Roman"/>
                                  <w:color w:val="5A5050"/>
                                  <w:sz w:val="21"/>
                                  <w:szCs w:val="21"/>
                                  <w:lang w:eastAsia="es-ES"/>
                                </w:rPr>
                                <w:t xml:space="preserve"> se opuso oficialmente, pero tomó otras medidas </w:t>
                              </w:r>
                              <w:r w:rsidRPr="004A075F">
                                <w:rPr>
                                  <w:rFonts w:ascii="Verdana" w:eastAsia="Times New Roman" w:hAnsi="Verdana" w:cs="Times New Roman"/>
                                  <w:color w:val="5A5050"/>
                                  <w:sz w:val="21"/>
                                  <w:szCs w:val="21"/>
                                  <w:lang w:eastAsia="es-ES"/>
                                </w:rPr>
                                <w:lastRenderedPageBreak/>
                                <w:t xml:space="preserve">para asegurar el éxito del mismo. La Secretaria de Estado, </w:t>
                              </w:r>
                              <w:proofErr w:type="spellStart"/>
                              <w:r w:rsidRPr="004A075F">
                                <w:rPr>
                                  <w:rFonts w:ascii="Verdana" w:eastAsia="Times New Roman" w:hAnsi="Verdana" w:cs="Times New Roman"/>
                                  <w:color w:val="5A5050"/>
                                  <w:sz w:val="21"/>
                                  <w:szCs w:val="21"/>
                                  <w:lang w:eastAsia="es-ES"/>
                                </w:rPr>
                                <w:t>Hillary</w:t>
                              </w:r>
                              <w:proofErr w:type="spellEnd"/>
                              <w:r w:rsidRPr="004A075F">
                                <w:rPr>
                                  <w:rFonts w:ascii="Verdana" w:eastAsia="Times New Roman" w:hAnsi="Verdana" w:cs="Times New Roman"/>
                                  <w:color w:val="5A5050"/>
                                  <w:sz w:val="21"/>
                                  <w:szCs w:val="21"/>
                                  <w:lang w:eastAsia="es-ES"/>
                                </w:rPr>
                                <w:t xml:space="preserve"> Clinton por ejemplo</w:t>
                              </w:r>
                              <w:r w:rsidRPr="004A075F">
                                <w:rPr>
                                  <w:rFonts w:ascii="Verdana" w:eastAsia="Times New Roman" w:hAnsi="Verdana" w:cs="Times New Roman"/>
                                  <w:color w:val="5A5050"/>
                                  <w:sz w:val="21"/>
                                  <w:lang w:eastAsia="es-ES"/>
                                </w:rPr>
                                <w:t> </w:t>
                              </w:r>
                              <w:hyperlink r:id="rId17" w:tgtFrame="_blank" w:history="1">
                                <w:r w:rsidRPr="004A075F">
                                  <w:rPr>
                                    <w:rFonts w:ascii="Verdana" w:eastAsia="Times New Roman" w:hAnsi="Verdana" w:cs="Times New Roman"/>
                                    <w:color w:val="5091B0"/>
                                    <w:sz w:val="21"/>
                                    <w:u w:val="single"/>
                                    <w:lang w:eastAsia="es-ES"/>
                                  </w:rPr>
                                  <w:t>escribió en su libro de 2014</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“Decisiones Difíciles” que ella trabajó para evitar que Zelaya, el Presidente destituido pero electo democráticamente, volviese al poder.</w:t>
                              </w:r>
                              <w:r w:rsidRPr="004A075F">
                                <w:rPr>
                                  <w:rFonts w:ascii="Verdana" w:eastAsia="Times New Roman" w:hAnsi="Verdana" w:cs="Times New Roman"/>
                                  <w:color w:val="5A5050"/>
                                  <w:sz w:val="21"/>
                                  <w:lang w:eastAsia="es-ES"/>
                                </w:rPr>
                                <w:t> </w:t>
                              </w:r>
                            </w:p>
                            <w:p w:rsidR="004A075F" w:rsidRDefault="004A075F" w:rsidP="004A075F">
                              <w:pPr>
                                <w:spacing w:before="240" w:after="24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color w:val="5A5050"/>
                                  <w:sz w:val="21"/>
                                  <w:szCs w:val="21"/>
                                  <w:lang w:eastAsia="es-ES"/>
                                </w:rPr>
                                <w:br/>
                                <w:t xml:space="preserve">Zelaya había logrado frenar la expansión de </w:t>
                              </w:r>
                              <w:proofErr w:type="spellStart"/>
                              <w:r w:rsidRPr="004A075F">
                                <w:rPr>
                                  <w:rFonts w:ascii="Verdana" w:eastAsia="Times New Roman" w:hAnsi="Verdana" w:cs="Times New Roman"/>
                                  <w:color w:val="5A5050"/>
                                  <w:sz w:val="21"/>
                                  <w:szCs w:val="21"/>
                                  <w:lang w:eastAsia="es-ES"/>
                                </w:rPr>
                                <w:t>megaproyectos</w:t>
                              </w:r>
                              <w:proofErr w:type="spellEnd"/>
                              <w:r w:rsidRPr="004A075F">
                                <w:rPr>
                                  <w:rFonts w:ascii="Verdana" w:eastAsia="Times New Roman" w:hAnsi="Verdana" w:cs="Times New Roman"/>
                                  <w:color w:val="5A5050"/>
                                  <w:sz w:val="21"/>
                                  <w:szCs w:val="21"/>
                                  <w:lang w:eastAsia="es-ES"/>
                                </w:rPr>
                                <w:t xml:space="preserve"> ambientalmente destructivos; también presidió una economía que logró reducir la desigualdad, la pobreza y el desempleo, e incrementó el sueldo mínimo sustancialmente antes de ser destituido. Por otro lado también estaba trabajando en la resolución de reclamos por parte de los campesinos en regiones como la del Valle de Aguan, de que sus tierras habían sido incautadas ilegalmente por terratenientes poderosos</w:t>
                              </w:r>
                            </w:p>
                            <w:p w:rsidR="004A075F" w:rsidRPr="004A075F" w:rsidRDefault="004A075F" w:rsidP="004A075F">
                              <w:pPr>
                                <w:spacing w:before="240" w:after="24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color w:val="5A5050"/>
                                  <w:sz w:val="21"/>
                                  <w:szCs w:val="21"/>
                                  <w:lang w:eastAsia="es-ES"/>
                                </w:rPr>
                                <w:br/>
                                <w:t xml:space="preserve">El presidente Juan Orlando Hernández ha rehusado reunirse con </w:t>
                              </w:r>
                              <w:proofErr w:type="spellStart"/>
                              <w:r w:rsidRPr="004A075F">
                                <w:rPr>
                                  <w:rFonts w:ascii="Verdana" w:eastAsia="Times New Roman" w:hAnsi="Verdana" w:cs="Times New Roman"/>
                                  <w:color w:val="5A5050"/>
                                  <w:sz w:val="21"/>
                                  <w:szCs w:val="21"/>
                                  <w:lang w:eastAsia="es-ES"/>
                                </w:rPr>
                                <w:t>Salil</w:t>
                              </w:r>
                              <w:proofErr w:type="spellEnd"/>
                              <w:r w:rsidRPr="004A075F">
                                <w:rPr>
                                  <w:rFonts w:ascii="Verdana" w:eastAsia="Times New Roman" w:hAnsi="Verdana" w:cs="Times New Roman"/>
                                  <w:color w:val="5A5050"/>
                                  <w:sz w:val="21"/>
                                  <w:szCs w:val="21"/>
                                  <w:lang w:eastAsia="es-ES"/>
                                </w:rPr>
                                <w:t xml:space="preserve"> </w:t>
                              </w:r>
                              <w:proofErr w:type="spellStart"/>
                              <w:r w:rsidRPr="004A075F">
                                <w:rPr>
                                  <w:rFonts w:ascii="Verdana" w:eastAsia="Times New Roman" w:hAnsi="Verdana" w:cs="Times New Roman"/>
                                  <w:color w:val="5A5050"/>
                                  <w:sz w:val="21"/>
                                  <w:szCs w:val="21"/>
                                  <w:lang w:eastAsia="es-ES"/>
                                </w:rPr>
                                <w:t>Shetty</w:t>
                              </w:r>
                              <w:proofErr w:type="spellEnd"/>
                              <w:r w:rsidRPr="004A075F">
                                <w:rPr>
                                  <w:rFonts w:ascii="Verdana" w:eastAsia="Times New Roman" w:hAnsi="Verdana" w:cs="Times New Roman"/>
                                  <w:color w:val="5A5050"/>
                                  <w:sz w:val="21"/>
                                  <w:szCs w:val="21"/>
                                  <w:lang w:eastAsia="es-ES"/>
                                </w:rPr>
                                <w:t>, Secretario General de Amnistía Internacional, organización que condenó el asesinato de Flores y George. El 20 de octubre, las fuerzas de seguridad hicieron</w:t>
                              </w:r>
                              <w:r w:rsidRPr="004A075F">
                                <w:rPr>
                                  <w:rFonts w:ascii="Verdana" w:eastAsia="Times New Roman" w:hAnsi="Verdana" w:cs="Times New Roman"/>
                                  <w:color w:val="5A5050"/>
                                  <w:sz w:val="21"/>
                                  <w:lang w:eastAsia="es-ES"/>
                                </w:rPr>
                                <w:t> </w:t>
                              </w:r>
                              <w:hyperlink r:id="rId18" w:tgtFrame="_blank" w:history="1">
                                <w:r w:rsidRPr="004A075F">
                                  <w:rPr>
                                    <w:rFonts w:ascii="Verdana" w:eastAsia="Times New Roman" w:hAnsi="Verdana" w:cs="Times New Roman"/>
                                    <w:color w:val="5091B0"/>
                                    <w:sz w:val="21"/>
                                    <w:u w:val="single"/>
                                    <w:lang w:eastAsia="es-ES"/>
                                  </w:rPr>
                                  <w:t>uso excesivo de fuerza</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para disolver una manifestación que protestaba por el mal manejo de las autoridades hondureñas de la investigación del asesinato de Berta Cáceres. Los movimientos sociales quieren que el gobierno identifique a los responsables de más alto nivel del asesinato, y no únicamente a los ejecutores. Como otra señal de que el estado de derecho no aplica para el asesinato de líderes indígenas, el expediente del caso de Cáceres fue</w:t>
                              </w:r>
                              <w:r w:rsidRPr="004A075F">
                                <w:rPr>
                                  <w:rFonts w:ascii="Verdana" w:eastAsia="Times New Roman" w:hAnsi="Verdana" w:cs="Times New Roman"/>
                                  <w:color w:val="5A5050"/>
                                  <w:sz w:val="21"/>
                                  <w:lang w:eastAsia="es-ES"/>
                                </w:rPr>
                                <w:t> </w:t>
                              </w:r>
                              <w:hyperlink r:id="rId19" w:tgtFrame="_blank" w:history="1">
                                <w:r w:rsidRPr="004A075F">
                                  <w:rPr>
                                    <w:rFonts w:ascii="Verdana" w:eastAsia="Times New Roman" w:hAnsi="Verdana" w:cs="Times New Roman"/>
                                    <w:color w:val="5091B0"/>
                                    <w:sz w:val="21"/>
                                    <w:u w:val="single"/>
                                    <w:lang w:eastAsia="es-ES"/>
                                  </w:rPr>
                                  <w:t>reportado como robado</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a la magistrada que llevaba la investigación el 29 de septiembre.</w:t>
                              </w:r>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br/>
                              </w:r>
                              <w:r w:rsidRPr="004A075F">
                                <w:rPr>
                                  <w:rFonts w:ascii="Verdana" w:eastAsia="Times New Roman" w:hAnsi="Verdana" w:cs="Times New Roman"/>
                                  <w:color w:val="5A5050"/>
                                  <w:sz w:val="21"/>
                                  <w:szCs w:val="21"/>
                                  <w:lang w:eastAsia="es-ES"/>
                                </w:rPr>
                                <w:br/>
                                <w:t>La terrible situación de los derechos humanos en Honduras, incluyendo la destrucción ambiental de territorios indígenas y el flujo constante de refugiados huyendo la violencia, es un resultado natural del derrocamiento de un gobierno promotor de reformas electo democráticamente, y su sustitución por represión y militarización. Lamentablemente Honduras es percibido al más alto nivel del “Estado de Seguridad Nacional” de Estados Unidos,</w:t>
                              </w:r>
                              <w:r w:rsidRPr="004A075F">
                                <w:rPr>
                                  <w:rFonts w:ascii="Verdana" w:eastAsia="Times New Roman" w:hAnsi="Verdana" w:cs="Times New Roman"/>
                                  <w:color w:val="5A5050"/>
                                  <w:sz w:val="21"/>
                                  <w:lang w:eastAsia="es-ES"/>
                                </w:rPr>
                                <w:t> </w:t>
                              </w:r>
                              <w:hyperlink r:id="rId20" w:tgtFrame="_blank" w:history="1">
                                <w:r w:rsidRPr="004A075F">
                                  <w:rPr>
                                    <w:rFonts w:ascii="Verdana" w:eastAsia="Times New Roman" w:hAnsi="Verdana" w:cs="Times New Roman"/>
                                    <w:color w:val="5091B0"/>
                                    <w:sz w:val="21"/>
                                    <w:u w:val="single"/>
                                    <w:lang w:eastAsia="es-ES"/>
                                  </w:rPr>
                                  <w:t>como un peón</w:t>
                                </w:r>
                              </w:hyperlink>
                              <w:r w:rsidRPr="004A075F">
                                <w:rPr>
                                  <w:rFonts w:ascii="Verdana" w:eastAsia="Times New Roman" w:hAnsi="Verdana" w:cs="Times New Roman"/>
                                  <w:color w:val="5A5050"/>
                                  <w:sz w:val="21"/>
                                  <w:lang w:eastAsia="es-ES"/>
                                </w:rPr>
                                <w:t> </w:t>
                              </w:r>
                              <w:r w:rsidRPr="004A075F">
                                <w:rPr>
                                  <w:rFonts w:ascii="Verdana" w:eastAsia="Times New Roman" w:hAnsi="Verdana" w:cs="Times New Roman"/>
                                  <w:color w:val="5A5050"/>
                                  <w:sz w:val="21"/>
                                  <w:szCs w:val="21"/>
                                  <w:lang w:eastAsia="es-ES"/>
                                </w:rPr>
                                <w:t xml:space="preserve">en el juego de ajedrez geopolítico de la Segunda Guerra Fría. Ahí se encuentra una de las pocas bases militares estadounidenses que aún quedan en América Latina. Por esa razón, los numerosos llamados de casi 100 miembros del Congreso a la vez, de suspender las ayudas militares y de seguridad hasta que el gobierno le ponga fin a la impunidad, habitualmente han sido </w:t>
                              </w:r>
                              <w:proofErr w:type="gramStart"/>
                              <w:r w:rsidRPr="004A075F">
                                <w:rPr>
                                  <w:rFonts w:ascii="Verdana" w:eastAsia="Times New Roman" w:hAnsi="Verdana" w:cs="Times New Roman"/>
                                  <w:color w:val="5A5050"/>
                                  <w:sz w:val="21"/>
                                  <w:szCs w:val="21"/>
                                  <w:lang w:eastAsia="es-ES"/>
                                </w:rPr>
                                <w:t>ignorados</w:t>
                              </w:r>
                              <w:proofErr w:type="gramEnd"/>
                              <w:r w:rsidRPr="004A075F">
                                <w:rPr>
                                  <w:rFonts w:ascii="Verdana" w:eastAsia="Times New Roman" w:hAnsi="Verdana" w:cs="Times New Roman"/>
                                  <w:color w:val="5A5050"/>
                                  <w:sz w:val="21"/>
                                  <w:szCs w:val="21"/>
                                  <w:lang w:eastAsia="es-ES"/>
                                </w:rPr>
                                <w:t>.  </w:t>
                              </w:r>
                              <w:r w:rsidRPr="004A075F">
                                <w:rPr>
                                  <w:rFonts w:ascii="Verdana" w:eastAsia="Times New Roman" w:hAnsi="Verdana" w:cs="Times New Roman"/>
                                  <w:color w:val="5A5050"/>
                                  <w:sz w:val="21"/>
                                  <w:szCs w:val="21"/>
                                  <w:lang w:eastAsia="es-ES"/>
                                </w:rPr>
                                <w:br/>
                              </w:r>
                              <w:r w:rsidRPr="004A075F">
                                <w:rPr>
                                  <w:rFonts w:ascii="Verdana" w:eastAsia="Times New Roman" w:hAnsi="Verdana" w:cs="Times New Roman"/>
                                  <w:color w:val="5A5050"/>
                                  <w:sz w:val="21"/>
                                  <w:szCs w:val="21"/>
                                  <w:lang w:eastAsia="es-ES"/>
                                </w:rPr>
                                <w:br/>
                                <w:t xml:space="preserve">Esto no cambiará necesariamente si los Demócratas ganasen el Senado el 8 de noviembre, pero en todo caso hay muchas cosas que el Congreso podría hacer, incluso ahora. De manera individual, en el seno de comités como el de apropiaciones o de relaciones exteriores, algunos Senadores podrían dificultar e incluso hacer imposible el desembolso de ayuda de seguridad de Estados Unidos a Honduras. Este tipo de obstruccionismo justificado podría ejercer una </w:t>
                              </w:r>
                              <w:r w:rsidRPr="004A075F">
                                <w:rPr>
                                  <w:rFonts w:ascii="Verdana" w:eastAsia="Times New Roman" w:hAnsi="Verdana" w:cs="Times New Roman"/>
                                  <w:color w:val="5A5050"/>
                                  <w:sz w:val="21"/>
                                  <w:szCs w:val="21"/>
                                  <w:lang w:eastAsia="es-ES"/>
                                </w:rPr>
                                <w:lastRenderedPageBreak/>
                                <w:t>enorme presión sobre el gobierno hondureño para que respete la vida y los derechos humanos.</w:t>
                              </w:r>
                            </w:p>
                          </w:tc>
                        </w:tr>
                      </w:tbl>
                      <w:p w:rsidR="004A075F" w:rsidRPr="004A075F" w:rsidRDefault="004A075F" w:rsidP="004A075F">
                        <w:pPr>
                          <w:spacing w:after="0" w:line="240" w:lineRule="auto"/>
                          <w:jc w:val="both"/>
                          <w:rPr>
                            <w:rFonts w:ascii="Arial" w:eastAsia="Times New Roman" w:hAnsi="Arial" w:cs="Arial"/>
                            <w:sz w:val="24"/>
                            <w:szCs w:val="24"/>
                            <w:lang w:eastAsia="es-ES"/>
                          </w:rPr>
                        </w:pPr>
                      </w:p>
                    </w:tc>
                  </w:tr>
                </w:tbl>
                <w:p w:rsidR="004A075F" w:rsidRPr="004A075F" w:rsidRDefault="004A075F" w:rsidP="004A075F">
                  <w:pPr>
                    <w:spacing w:after="0" w:line="240" w:lineRule="auto"/>
                    <w:jc w:val="both"/>
                    <w:rPr>
                      <w:rFonts w:ascii="Arial" w:eastAsia="Times New Roman" w:hAnsi="Arial" w:cs="Arial"/>
                      <w:vanish/>
                      <w:sz w:val="24"/>
                      <w:szCs w:val="24"/>
                      <w:lang w:eastAsia="es-ES"/>
                    </w:rPr>
                  </w:pPr>
                </w:p>
                <w:tbl>
                  <w:tblPr>
                    <w:tblW w:w="9000" w:type="dxa"/>
                    <w:tblCellMar>
                      <w:left w:w="0" w:type="dxa"/>
                      <w:right w:w="0" w:type="dxa"/>
                    </w:tblCellMar>
                    <w:tblLook w:val="04A0"/>
                  </w:tblPr>
                  <w:tblGrid>
                    <w:gridCol w:w="9000"/>
                  </w:tblGrid>
                  <w:tr w:rsidR="004A075F" w:rsidRPr="004A075F">
                    <w:tc>
                      <w:tcPr>
                        <w:tcW w:w="0" w:type="auto"/>
                        <w:tcMar>
                          <w:top w:w="135" w:type="dxa"/>
                          <w:left w:w="270" w:type="dxa"/>
                          <w:bottom w:w="135" w:type="dxa"/>
                          <w:right w:w="270" w:type="dxa"/>
                        </w:tcMar>
                        <w:hideMark/>
                      </w:tcPr>
                      <w:tbl>
                        <w:tblPr>
                          <w:tblW w:w="5000" w:type="pct"/>
                          <w:tblCellMar>
                            <w:left w:w="0" w:type="dxa"/>
                            <w:right w:w="0" w:type="dxa"/>
                          </w:tblCellMar>
                          <w:tblLook w:val="04A0"/>
                        </w:tblPr>
                        <w:tblGrid>
                          <w:gridCol w:w="8460"/>
                        </w:tblGrid>
                        <w:tr w:rsidR="004A075F" w:rsidRPr="004A075F">
                          <w:tc>
                            <w:tcPr>
                              <w:tcW w:w="0" w:type="auto"/>
                              <w:tcBorders>
                                <w:top w:val="nil"/>
                                <w:left w:val="nil"/>
                                <w:bottom w:val="nil"/>
                                <w:right w:val="nil"/>
                              </w:tcBorders>
                              <w:shd w:val="clear" w:color="auto" w:fill="E9E9E9"/>
                              <w:hideMark/>
                            </w:tcPr>
                            <w:tbl>
                              <w:tblPr>
                                <w:tblpPr w:leftFromText="45" w:rightFromText="45" w:vertAnchor="text"/>
                                <w:tblW w:w="0" w:type="auto"/>
                                <w:tblCellMar>
                                  <w:left w:w="0" w:type="dxa"/>
                                  <w:right w:w="0" w:type="dxa"/>
                                </w:tblCellMar>
                                <w:tblLook w:val="04A0"/>
                              </w:tblPr>
                              <w:tblGrid>
                                <w:gridCol w:w="1980"/>
                              </w:tblGrid>
                              <w:tr w:rsidR="004A075F" w:rsidRPr="004A075F">
                                <w:tc>
                                  <w:tcPr>
                                    <w:tcW w:w="0" w:type="auto"/>
                                    <w:tcMar>
                                      <w:top w:w="375" w:type="dxa"/>
                                      <w:left w:w="270" w:type="dxa"/>
                                      <w:bottom w:w="270" w:type="dxa"/>
                                      <w:right w:w="0" w:type="dxa"/>
                                    </w:tcMar>
                                    <w:vAlign w:val="center"/>
                                    <w:hideMark/>
                                  </w:tcPr>
                                  <w:p w:rsidR="004A075F" w:rsidRPr="004A075F" w:rsidRDefault="004A075F" w:rsidP="004A075F">
                                    <w:pPr>
                                      <w:spacing w:after="0" w:line="240" w:lineRule="auto"/>
                                      <w:jc w:val="both"/>
                                      <w:rPr>
                                        <w:rFonts w:ascii="Arial" w:eastAsia="Times New Roman" w:hAnsi="Arial" w:cs="Arial"/>
                                        <w:sz w:val="24"/>
                                        <w:szCs w:val="24"/>
                                        <w:lang w:eastAsia="es-ES"/>
                                      </w:rPr>
                                    </w:pPr>
                                    <w:r>
                                      <w:rPr>
                                        <w:rFonts w:ascii="Arial" w:eastAsia="Times New Roman" w:hAnsi="Arial" w:cs="Arial"/>
                                        <w:noProof/>
                                        <w:color w:val="1155CC"/>
                                        <w:sz w:val="24"/>
                                        <w:szCs w:val="24"/>
                                        <w:lang w:eastAsia="es-ES"/>
                                      </w:rPr>
                                      <w:drawing>
                                        <wp:inline distT="0" distB="0" distL="0" distR="0">
                                          <wp:extent cx="1066800" cy="1181100"/>
                                          <wp:effectExtent l="19050" t="0" r="0" b="0"/>
                                          <wp:docPr id="2" name="Imagen 2" descr="Mark Weisbro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Weisbrot">
                                                    <a:hlinkClick r:id="rId21" tgtFrame="&quot;_blank&quot;"/>
                                                  </pic:cNvPr>
                                                  <pic:cNvPicPr>
                                                    <a:picLocks noChangeAspect="1" noChangeArrowheads="1"/>
                                                  </pic:cNvPicPr>
                                                </pic:nvPicPr>
                                                <pic:blipFill>
                                                  <a:blip r:embed="rId22" cstate="print"/>
                                                  <a:srcRect/>
                                                  <a:stretch>
                                                    <a:fillRect/>
                                                  </a:stretch>
                                                </pic:blipFill>
                                                <pic:spPr bwMode="auto">
                                                  <a:xfrm>
                                                    <a:off x="0" y="0"/>
                                                    <a:ext cx="1066800" cy="1181100"/>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5940" w:type="dxa"/>
                                <w:tblCellMar>
                                  <w:left w:w="0" w:type="dxa"/>
                                  <w:right w:w="0" w:type="dxa"/>
                                </w:tblCellMar>
                                <w:tblLook w:val="04A0"/>
                              </w:tblPr>
                              <w:tblGrid>
                                <w:gridCol w:w="5940"/>
                              </w:tblGrid>
                              <w:tr w:rsidR="004A075F" w:rsidRPr="004A075F">
                                <w:tc>
                                  <w:tcPr>
                                    <w:tcW w:w="0" w:type="auto"/>
                                    <w:tcMar>
                                      <w:top w:w="270" w:type="dxa"/>
                                      <w:left w:w="0" w:type="dxa"/>
                                      <w:bottom w:w="270" w:type="dxa"/>
                                      <w:right w:w="270" w:type="dxa"/>
                                    </w:tcMar>
                                    <w:hideMark/>
                                  </w:tcPr>
                                  <w:p w:rsidR="004A075F" w:rsidRPr="004A075F" w:rsidRDefault="004A075F" w:rsidP="004A075F">
                                    <w:pPr>
                                      <w:spacing w:after="0" w:line="270" w:lineRule="atLeast"/>
                                      <w:jc w:val="both"/>
                                      <w:rPr>
                                        <w:rFonts w:ascii="Verdana" w:eastAsia="Times New Roman" w:hAnsi="Verdana" w:cs="Times New Roman"/>
                                        <w:color w:val="5A5050"/>
                                        <w:sz w:val="18"/>
                                        <w:szCs w:val="18"/>
                                        <w:lang w:eastAsia="es-ES"/>
                                      </w:rPr>
                                    </w:pPr>
                                    <w:r w:rsidRPr="004A075F">
                                      <w:rPr>
                                        <w:rFonts w:ascii="Verdana" w:eastAsia="Times New Roman" w:hAnsi="Verdana" w:cs="Times New Roman"/>
                                        <w:b/>
                                        <w:bCs/>
                                        <w:color w:val="5A5050"/>
                                        <w:sz w:val="18"/>
                                        <w:szCs w:val="18"/>
                                        <w:lang w:eastAsia="es-ES"/>
                                      </w:rPr>
                                      <w:t xml:space="preserve">Mark </w:t>
                                    </w:r>
                                    <w:proofErr w:type="spellStart"/>
                                    <w:r w:rsidRPr="004A075F">
                                      <w:rPr>
                                        <w:rFonts w:ascii="Verdana" w:eastAsia="Times New Roman" w:hAnsi="Verdana" w:cs="Times New Roman"/>
                                        <w:b/>
                                        <w:bCs/>
                                        <w:color w:val="5A5050"/>
                                        <w:sz w:val="18"/>
                                        <w:szCs w:val="18"/>
                                        <w:lang w:eastAsia="es-ES"/>
                                      </w:rPr>
                                      <w:t>Weisbrot</w:t>
                                    </w:r>
                                    <w:proofErr w:type="spellEnd"/>
                                    <w:r w:rsidRPr="004A075F">
                                      <w:rPr>
                                        <w:rFonts w:ascii="Verdana" w:eastAsia="Times New Roman" w:hAnsi="Verdana" w:cs="Times New Roman"/>
                                        <w:color w:val="5A5050"/>
                                        <w:sz w:val="18"/>
                                        <w:lang w:eastAsia="es-ES"/>
                                      </w:rPr>
                                      <w:t> </w:t>
                                    </w:r>
                                    <w:r w:rsidRPr="004A075F">
                                      <w:rPr>
                                        <w:rFonts w:ascii="Verdana" w:eastAsia="Times New Roman" w:hAnsi="Verdana" w:cs="Times New Roman"/>
                                        <w:color w:val="5A5050"/>
                                        <w:sz w:val="18"/>
                                        <w:szCs w:val="18"/>
                                        <w:lang w:eastAsia="es-ES"/>
                                      </w:rPr>
                                      <w:t>es</w:t>
                                    </w:r>
                                    <w:r w:rsidRPr="004A075F">
                                      <w:rPr>
                                        <w:rFonts w:ascii="Verdana" w:eastAsia="Times New Roman" w:hAnsi="Verdana" w:cs="Times New Roman"/>
                                        <w:color w:val="5A5050"/>
                                        <w:sz w:val="18"/>
                                        <w:lang w:eastAsia="es-ES"/>
                                      </w:rPr>
                                      <w:t> </w:t>
                                    </w:r>
                                    <w:hyperlink r:id="rId23" w:tgtFrame="_blank" w:history="1">
                                      <w:r w:rsidRPr="004A075F">
                                        <w:rPr>
                                          <w:rFonts w:ascii="Verdana" w:eastAsia="Times New Roman" w:hAnsi="Verdana" w:cs="Times New Roman"/>
                                          <w:color w:val="5091B0"/>
                                          <w:sz w:val="18"/>
                                          <w:u w:val="single"/>
                                          <w:lang w:eastAsia="es-ES"/>
                                        </w:rPr>
                                        <w:t>codirector</w:t>
                                      </w:r>
                                    </w:hyperlink>
                                    <w:r w:rsidRPr="004A075F">
                                      <w:rPr>
                                        <w:rFonts w:ascii="Verdana" w:eastAsia="Times New Roman" w:hAnsi="Verdana" w:cs="Times New Roman"/>
                                        <w:color w:val="5A5050"/>
                                        <w:sz w:val="18"/>
                                        <w:lang w:eastAsia="es-ES"/>
                                      </w:rPr>
                                      <w:t> </w:t>
                                    </w:r>
                                    <w:r w:rsidRPr="004A075F">
                                      <w:rPr>
                                        <w:rFonts w:ascii="Verdana" w:eastAsia="Times New Roman" w:hAnsi="Verdana" w:cs="Times New Roman"/>
                                        <w:color w:val="5A5050"/>
                                        <w:sz w:val="18"/>
                                        <w:szCs w:val="18"/>
                                        <w:lang w:eastAsia="es-ES"/>
                                      </w:rPr>
                                      <w:t xml:space="preserve">del Centro de Investigación en Economía y Política (Center </w:t>
                                    </w:r>
                                    <w:proofErr w:type="spellStart"/>
                                    <w:r w:rsidRPr="004A075F">
                                      <w:rPr>
                                        <w:rFonts w:ascii="Verdana" w:eastAsia="Times New Roman" w:hAnsi="Verdana" w:cs="Times New Roman"/>
                                        <w:color w:val="5A5050"/>
                                        <w:sz w:val="18"/>
                                        <w:szCs w:val="18"/>
                                        <w:lang w:eastAsia="es-ES"/>
                                      </w:rPr>
                                      <w:t>for</w:t>
                                    </w:r>
                                    <w:proofErr w:type="spellEnd"/>
                                    <w:r w:rsidRPr="004A075F">
                                      <w:rPr>
                                        <w:rFonts w:ascii="Verdana" w:eastAsia="Times New Roman" w:hAnsi="Verdana" w:cs="Times New Roman"/>
                                        <w:color w:val="5A5050"/>
                                        <w:sz w:val="18"/>
                                        <w:szCs w:val="18"/>
                                        <w:lang w:eastAsia="es-ES"/>
                                      </w:rPr>
                                      <w:t xml:space="preserve"> </w:t>
                                    </w:r>
                                    <w:proofErr w:type="spellStart"/>
                                    <w:r w:rsidRPr="004A075F">
                                      <w:rPr>
                                        <w:rFonts w:ascii="Verdana" w:eastAsia="Times New Roman" w:hAnsi="Verdana" w:cs="Times New Roman"/>
                                        <w:color w:val="5A5050"/>
                                        <w:sz w:val="18"/>
                                        <w:szCs w:val="18"/>
                                        <w:lang w:eastAsia="es-ES"/>
                                      </w:rPr>
                                      <w:t>Economic</w:t>
                                    </w:r>
                                    <w:proofErr w:type="spellEnd"/>
                                    <w:r w:rsidRPr="004A075F">
                                      <w:rPr>
                                        <w:rFonts w:ascii="Verdana" w:eastAsia="Times New Roman" w:hAnsi="Verdana" w:cs="Times New Roman"/>
                                        <w:color w:val="5A5050"/>
                                        <w:sz w:val="18"/>
                                        <w:szCs w:val="18"/>
                                        <w:lang w:eastAsia="es-ES"/>
                                      </w:rPr>
                                      <w:t xml:space="preserve"> and </w:t>
                                    </w:r>
                                    <w:proofErr w:type="spellStart"/>
                                    <w:r w:rsidRPr="004A075F">
                                      <w:rPr>
                                        <w:rFonts w:ascii="Verdana" w:eastAsia="Times New Roman" w:hAnsi="Verdana" w:cs="Times New Roman"/>
                                        <w:color w:val="5A5050"/>
                                        <w:sz w:val="18"/>
                                        <w:szCs w:val="18"/>
                                        <w:lang w:eastAsia="es-ES"/>
                                      </w:rPr>
                                      <w:t>Policy</w:t>
                                    </w:r>
                                    <w:proofErr w:type="spellEnd"/>
                                    <w:r w:rsidRPr="004A075F">
                                      <w:rPr>
                                        <w:rFonts w:ascii="Verdana" w:eastAsia="Times New Roman" w:hAnsi="Verdana" w:cs="Times New Roman"/>
                                        <w:color w:val="5A5050"/>
                                        <w:sz w:val="18"/>
                                        <w:szCs w:val="18"/>
                                        <w:lang w:eastAsia="es-ES"/>
                                      </w:rPr>
                                      <w:t xml:space="preserve"> </w:t>
                                    </w:r>
                                    <w:proofErr w:type="spellStart"/>
                                    <w:r w:rsidRPr="004A075F">
                                      <w:rPr>
                                        <w:rFonts w:ascii="Verdana" w:eastAsia="Times New Roman" w:hAnsi="Verdana" w:cs="Times New Roman"/>
                                        <w:color w:val="5A5050"/>
                                        <w:sz w:val="18"/>
                                        <w:szCs w:val="18"/>
                                        <w:lang w:eastAsia="es-ES"/>
                                      </w:rPr>
                                      <w:t>Research</w:t>
                                    </w:r>
                                    <w:proofErr w:type="spellEnd"/>
                                    <w:r w:rsidRPr="004A075F">
                                      <w:rPr>
                                        <w:rFonts w:ascii="Verdana" w:eastAsia="Times New Roman" w:hAnsi="Verdana" w:cs="Times New Roman"/>
                                        <w:color w:val="5A5050"/>
                                        <w:sz w:val="18"/>
                                        <w:szCs w:val="18"/>
                                        <w:lang w:eastAsia="es-ES"/>
                                      </w:rPr>
                                      <w:t>, CEPR) en Washington, D.C. y presidente de la organización</w:t>
                                    </w:r>
                                    <w:r w:rsidRPr="004A075F">
                                      <w:rPr>
                                        <w:rFonts w:ascii="Verdana" w:eastAsia="Times New Roman" w:hAnsi="Verdana" w:cs="Times New Roman"/>
                                        <w:color w:val="5A5050"/>
                                        <w:sz w:val="18"/>
                                        <w:lang w:eastAsia="es-ES"/>
                                      </w:rPr>
                                      <w:t> </w:t>
                                    </w:r>
                                    <w:proofErr w:type="spellStart"/>
                                    <w:r w:rsidRPr="004A075F">
                                      <w:rPr>
                                        <w:rFonts w:ascii="Verdana" w:eastAsia="Times New Roman" w:hAnsi="Verdana" w:cs="Times New Roman"/>
                                        <w:color w:val="5A5050"/>
                                        <w:sz w:val="18"/>
                                        <w:szCs w:val="18"/>
                                        <w:lang w:eastAsia="es-ES"/>
                                      </w:rPr>
                                      <w:fldChar w:fldCharType="begin"/>
                                    </w:r>
                                    <w:r w:rsidRPr="004A075F">
                                      <w:rPr>
                                        <w:rFonts w:ascii="Verdana" w:eastAsia="Times New Roman" w:hAnsi="Verdana" w:cs="Times New Roman"/>
                                        <w:color w:val="5A5050"/>
                                        <w:sz w:val="18"/>
                                        <w:szCs w:val="18"/>
                                        <w:lang w:eastAsia="es-ES"/>
                                      </w:rPr>
                                      <w:instrText xml:space="preserve"> HYPERLINK "http://org.salsalabs.com/dia/track.jsp?v=2&amp;c=UWymCzf66XMCcNpliOhV5lpGJRw5plLH" \t "_blank" </w:instrText>
                                    </w:r>
                                    <w:r w:rsidRPr="004A075F">
                                      <w:rPr>
                                        <w:rFonts w:ascii="Verdana" w:eastAsia="Times New Roman" w:hAnsi="Verdana" w:cs="Times New Roman"/>
                                        <w:color w:val="5A5050"/>
                                        <w:sz w:val="18"/>
                                        <w:szCs w:val="18"/>
                                        <w:lang w:eastAsia="es-ES"/>
                                      </w:rPr>
                                      <w:fldChar w:fldCharType="separate"/>
                                    </w:r>
                                    <w:r w:rsidRPr="004A075F">
                                      <w:rPr>
                                        <w:rFonts w:ascii="Verdana" w:eastAsia="Times New Roman" w:hAnsi="Verdana" w:cs="Times New Roman"/>
                                        <w:color w:val="5091B0"/>
                                        <w:sz w:val="18"/>
                                        <w:u w:val="single"/>
                                        <w:lang w:eastAsia="es-ES"/>
                                      </w:rPr>
                                      <w:t>Just</w:t>
                                    </w:r>
                                    <w:proofErr w:type="spellEnd"/>
                                    <w:r w:rsidRPr="004A075F">
                                      <w:rPr>
                                        <w:rFonts w:ascii="Verdana" w:eastAsia="Times New Roman" w:hAnsi="Verdana" w:cs="Times New Roman"/>
                                        <w:color w:val="5091B0"/>
                                        <w:sz w:val="18"/>
                                        <w:u w:val="single"/>
                                        <w:lang w:eastAsia="es-ES"/>
                                      </w:rPr>
                                      <w:t xml:space="preserve"> </w:t>
                                    </w:r>
                                    <w:proofErr w:type="spellStart"/>
                                    <w:r w:rsidRPr="004A075F">
                                      <w:rPr>
                                        <w:rFonts w:ascii="Verdana" w:eastAsia="Times New Roman" w:hAnsi="Verdana" w:cs="Times New Roman"/>
                                        <w:color w:val="5091B0"/>
                                        <w:sz w:val="18"/>
                                        <w:u w:val="single"/>
                                        <w:lang w:eastAsia="es-ES"/>
                                      </w:rPr>
                                      <w:t>Foreign</w:t>
                                    </w:r>
                                    <w:proofErr w:type="spellEnd"/>
                                    <w:r w:rsidRPr="004A075F">
                                      <w:rPr>
                                        <w:rFonts w:ascii="Verdana" w:eastAsia="Times New Roman" w:hAnsi="Verdana" w:cs="Times New Roman"/>
                                        <w:color w:val="5091B0"/>
                                        <w:sz w:val="18"/>
                                        <w:u w:val="single"/>
                                        <w:lang w:eastAsia="es-ES"/>
                                      </w:rPr>
                                      <w:t xml:space="preserve"> </w:t>
                                    </w:r>
                                    <w:proofErr w:type="spellStart"/>
                                    <w:r w:rsidRPr="004A075F">
                                      <w:rPr>
                                        <w:rFonts w:ascii="Verdana" w:eastAsia="Times New Roman" w:hAnsi="Verdana" w:cs="Times New Roman"/>
                                        <w:color w:val="5091B0"/>
                                        <w:sz w:val="18"/>
                                        <w:u w:val="single"/>
                                        <w:lang w:eastAsia="es-ES"/>
                                      </w:rPr>
                                      <w:t>Policy</w:t>
                                    </w:r>
                                    <w:proofErr w:type="spellEnd"/>
                                    <w:r w:rsidRPr="004A075F">
                                      <w:rPr>
                                        <w:rFonts w:ascii="Verdana" w:eastAsia="Times New Roman" w:hAnsi="Verdana" w:cs="Times New Roman"/>
                                        <w:color w:val="5A5050"/>
                                        <w:sz w:val="18"/>
                                        <w:szCs w:val="18"/>
                                        <w:lang w:eastAsia="es-ES"/>
                                      </w:rPr>
                                      <w:fldChar w:fldCharType="end"/>
                                    </w:r>
                                    <w:r w:rsidRPr="004A075F">
                                      <w:rPr>
                                        <w:rFonts w:ascii="Verdana" w:eastAsia="Times New Roman" w:hAnsi="Verdana" w:cs="Times New Roman"/>
                                        <w:color w:val="5A5050"/>
                                        <w:sz w:val="18"/>
                                        <w:szCs w:val="18"/>
                                        <w:lang w:eastAsia="es-ES"/>
                                      </w:rPr>
                                      <w:t>. También es autor del nuevo libro "</w:t>
                                    </w:r>
                                    <w:hyperlink r:id="rId24" w:tgtFrame="_blank" w:history="1">
                                      <w:r w:rsidRPr="004A075F">
                                        <w:rPr>
                                          <w:rFonts w:ascii="Verdana" w:eastAsia="Times New Roman" w:hAnsi="Verdana" w:cs="Times New Roman"/>
                                          <w:color w:val="5091B0"/>
                                          <w:sz w:val="18"/>
                                          <w:u w:val="single"/>
                                          <w:lang w:eastAsia="es-ES"/>
                                        </w:rPr>
                                        <w:t>Fracaso. Lo que los 'expertos' no entendieron de la economía global</w:t>
                                      </w:r>
                                    </w:hyperlink>
                                    <w:r w:rsidRPr="004A075F">
                                      <w:rPr>
                                        <w:rFonts w:ascii="Verdana" w:eastAsia="Times New Roman" w:hAnsi="Verdana" w:cs="Times New Roman"/>
                                        <w:color w:val="5A5050"/>
                                        <w:sz w:val="18"/>
                                        <w:szCs w:val="18"/>
                                        <w:lang w:eastAsia="es-ES"/>
                                      </w:rPr>
                                      <w:t>" (</w:t>
                                    </w:r>
                                    <w:proofErr w:type="spellStart"/>
                                    <w:r w:rsidRPr="004A075F">
                                      <w:rPr>
                                        <w:rFonts w:ascii="Verdana" w:eastAsia="Times New Roman" w:hAnsi="Verdana" w:cs="Times New Roman"/>
                                        <w:color w:val="5A5050"/>
                                        <w:sz w:val="18"/>
                                        <w:szCs w:val="18"/>
                                        <w:lang w:eastAsia="es-ES"/>
                                      </w:rPr>
                                      <w:t>Akal</w:t>
                                    </w:r>
                                    <w:proofErr w:type="spellEnd"/>
                                    <w:r w:rsidRPr="004A075F">
                                      <w:rPr>
                                        <w:rFonts w:ascii="Verdana" w:eastAsia="Times New Roman" w:hAnsi="Verdana" w:cs="Times New Roman"/>
                                        <w:color w:val="5A5050"/>
                                        <w:sz w:val="18"/>
                                        <w:szCs w:val="18"/>
                                        <w:lang w:eastAsia="es-ES"/>
                                      </w:rPr>
                                      <w:t>, Madrid, 2016).</w:t>
                                    </w:r>
                                    <w:r w:rsidRPr="004A075F">
                                      <w:rPr>
                                        <w:rFonts w:ascii="Verdana" w:eastAsia="Times New Roman" w:hAnsi="Verdana" w:cs="Times New Roman"/>
                                        <w:color w:val="5A5050"/>
                                        <w:sz w:val="18"/>
                                        <w:szCs w:val="18"/>
                                        <w:lang w:eastAsia="es-ES"/>
                                      </w:rPr>
                                      <w:br/>
                                    </w:r>
                                    <w:r w:rsidRPr="004A075F">
                                      <w:rPr>
                                        <w:rFonts w:ascii="Verdana" w:eastAsia="Times New Roman" w:hAnsi="Verdana" w:cs="Times New Roman"/>
                                        <w:color w:val="5A5050"/>
                                        <w:sz w:val="18"/>
                                        <w:szCs w:val="18"/>
                                        <w:lang w:eastAsia="es-ES"/>
                                      </w:rPr>
                                      <w:br/>
                                    </w:r>
                                    <w:r w:rsidRPr="004A075F">
                                      <w:rPr>
                                        <w:rFonts w:ascii="Verdana" w:eastAsia="Times New Roman" w:hAnsi="Verdana" w:cs="Times New Roman"/>
                                        <w:b/>
                                        <w:bCs/>
                                        <w:color w:val="5A5050"/>
                                        <w:sz w:val="18"/>
                                        <w:szCs w:val="18"/>
                                        <w:lang w:eastAsia="es-ES"/>
                                      </w:rPr>
                                      <w:t>CEPR</w:t>
                                    </w:r>
                                    <w:r w:rsidRPr="004A075F">
                                      <w:rPr>
                                        <w:rFonts w:ascii="Verdana" w:eastAsia="Times New Roman" w:hAnsi="Verdana" w:cs="Times New Roman"/>
                                        <w:color w:val="5A5050"/>
                                        <w:sz w:val="18"/>
                                        <w:lang w:eastAsia="es-ES"/>
                                      </w:rPr>
                                      <w:t> </w:t>
                                    </w:r>
                                    <w:r w:rsidRPr="004A075F">
                                      <w:rPr>
                                        <w:rFonts w:ascii="Verdana" w:eastAsia="Times New Roman" w:hAnsi="Verdana" w:cs="Times New Roman"/>
                                        <w:color w:val="5A5050"/>
                                        <w:sz w:val="18"/>
                                        <w:szCs w:val="18"/>
                                        <w:lang w:eastAsia="es-ES"/>
                                      </w:rPr>
                                      <w:t>es un centro de investigación independiente y no partidario, establecido para promover el debate democrático sobre los temas económicos y sociales más importantes que afectan el diario vivir de las personas.</w:t>
                                    </w:r>
                                  </w:p>
                                </w:tc>
                              </w:tr>
                            </w:tbl>
                            <w:p w:rsidR="004A075F" w:rsidRPr="004A075F" w:rsidRDefault="004A075F" w:rsidP="004A075F">
                              <w:pPr>
                                <w:spacing w:after="0" w:line="240" w:lineRule="auto"/>
                                <w:jc w:val="both"/>
                                <w:rPr>
                                  <w:rFonts w:ascii="Arial" w:eastAsia="Times New Roman" w:hAnsi="Arial" w:cs="Arial"/>
                                  <w:vanish/>
                                  <w:sz w:val="24"/>
                                  <w:szCs w:val="24"/>
                                  <w:lang w:eastAsia="es-ES"/>
                                </w:rPr>
                              </w:pPr>
                            </w:p>
                            <w:tbl>
                              <w:tblPr>
                                <w:tblpPr w:leftFromText="45" w:rightFromText="45" w:vertAnchor="text" w:tblpXSpec="right" w:tblpYSpec="center"/>
                                <w:tblW w:w="5000" w:type="pct"/>
                                <w:tblCellMar>
                                  <w:left w:w="0" w:type="dxa"/>
                                  <w:right w:w="0" w:type="dxa"/>
                                </w:tblCellMar>
                                <w:tblLook w:val="04A0"/>
                              </w:tblPr>
                              <w:tblGrid>
                                <w:gridCol w:w="8460"/>
                              </w:tblGrid>
                              <w:tr w:rsidR="004A075F" w:rsidRPr="004A075F">
                                <w:tc>
                                  <w:tcPr>
                                    <w:tcW w:w="0" w:type="auto"/>
                                    <w:tcMar>
                                      <w:top w:w="0" w:type="dxa"/>
                                      <w:left w:w="270" w:type="dxa"/>
                                      <w:bottom w:w="270" w:type="dxa"/>
                                      <w:right w:w="270" w:type="dxa"/>
                                    </w:tcMar>
                                    <w:hideMark/>
                                  </w:tcPr>
                                  <w:p w:rsidR="004A075F" w:rsidRPr="004A075F" w:rsidRDefault="004A075F" w:rsidP="004A075F">
                                    <w:pPr>
                                      <w:spacing w:after="0" w:line="270" w:lineRule="atLeast"/>
                                      <w:jc w:val="both"/>
                                      <w:rPr>
                                        <w:rFonts w:ascii="Verdana" w:eastAsia="Times New Roman" w:hAnsi="Verdana" w:cs="Times New Roman"/>
                                        <w:color w:val="5A5050"/>
                                        <w:sz w:val="18"/>
                                        <w:szCs w:val="18"/>
                                        <w:lang w:eastAsia="es-ES"/>
                                      </w:rPr>
                                    </w:pPr>
                                    <w:r w:rsidRPr="004A075F">
                                      <w:rPr>
                                        <w:rFonts w:ascii="Verdana" w:eastAsia="Times New Roman" w:hAnsi="Verdana" w:cs="Times New Roman"/>
                                        <w:color w:val="5A5050"/>
                                        <w:sz w:val="18"/>
                                        <w:szCs w:val="18"/>
                                        <w:lang w:eastAsia="es-ES"/>
                                      </w:rPr>
                                      <w:t>Nuestro gabinete de asesores incluye a dos Premios Nobel de Economía</w:t>
                                    </w:r>
                                    <w:r w:rsidRPr="004A075F">
                                      <w:rPr>
                                        <w:rFonts w:ascii="Verdana" w:eastAsia="Times New Roman" w:hAnsi="Verdana" w:cs="Times New Roman"/>
                                        <w:color w:val="5A5050"/>
                                        <w:sz w:val="18"/>
                                        <w:lang w:eastAsia="es-ES"/>
                                      </w:rPr>
                                      <w:t> </w:t>
                                    </w:r>
                                    <w:r w:rsidRPr="004A075F">
                                      <w:rPr>
                                        <w:rFonts w:ascii="Verdana" w:eastAsia="Times New Roman" w:hAnsi="Verdana" w:cs="Times New Roman"/>
                                        <w:b/>
                                        <w:bCs/>
                                        <w:color w:val="5A5050"/>
                                        <w:sz w:val="18"/>
                                        <w:szCs w:val="18"/>
                                        <w:lang w:eastAsia="es-ES"/>
                                      </w:rPr>
                                      <w:t xml:space="preserve">Robert </w:t>
                                    </w:r>
                                    <w:proofErr w:type="spellStart"/>
                                    <w:r w:rsidRPr="004A075F">
                                      <w:rPr>
                                        <w:rFonts w:ascii="Verdana" w:eastAsia="Times New Roman" w:hAnsi="Verdana" w:cs="Times New Roman"/>
                                        <w:b/>
                                        <w:bCs/>
                                        <w:color w:val="5A5050"/>
                                        <w:sz w:val="18"/>
                                        <w:szCs w:val="18"/>
                                        <w:lang w:eastAsia="es-ES"/>
                                      </w:rPr>
                                      <w:t>Solow</w:t>
                                    </w:r>
                                    <w:proofErr w:type="spellEnd"/>
                                    <w:r w:rsidRPr="004A075F">
                                      <w:rPr>
                                        <w:rFonts w:ascii="Verdana" w:eastAsia="Times New Roman" w:hAnsi="Verdana" w:cs="Times New Roman"/>
                                        <w:color w:val="5A5050"/>
                                        <w:sz w:val="18"/>
                                        <w:lang w:eastAsia="es-ES"/>
                                      </w:rPr>
                                      <w:t> </w:t>
                                    </w:r>
                                    <w:r w:rsidRPr="004A075F">
                                      <w:rPr>
                                        <w:rFonts w:ascii="Verdana" w:eastAsia="Times New Roman" w:hAnsi="Verdana" w:cs="Times New Roman"/>
                                        <w:color w:val="5A5050"/>
                                        <w:sz w:val="18"/>
                                        <w:szCs w:val="18"/>
                                        <w:lang w:eastAsia="es-ES"/>
                                      </w:rPr>
                                      <w:t>y</w:t>
                                    </w:r>
                                    <w:r w:rsidRPr="004A075F">
                                      <w:rPr>
                                        <w:rFonts w:ascii="Verdana" w:eastAsia="Times New Roman" w:hAnsi="Verdana" w:cs="Times New Roman"/>
                                        <w:color w:val="5A5050"/>
                                        <w:sz w:val="18"/>
                                        <w:lang w:eastAsia="es-ES"/>
                                      </w:rPr>
                                      <w:t> </w:t>
                                    </w:r>
                                    <w:r w:rsidRPr="004A075F">
                                      <w:rPr>
                                        <w:rFonts w:ascii="Verdana" w:eastAsia="Times New Roman" w:hAnsi="Verdana" w:cs="Times New Roman"/>
                                        <w:b/>
                                        <w:bCs/>
                                        <w:color w:val="5A5050"/>
                                        <w:sz w:val="18"/>
                                        <w:szCs w:val="18"/>
                                        <w:lang w:eastAsia="es-ES"/>
                                      </w:rPr>
                                      <w:t xml:space="preserve">Joseph </w:t>
                                    </w:r>
                                    <w:proofErr w:type="spellStart"/>
                                    <w:r w:rsidRPr="004A075F">
                                      <w:rPr>
                                        <w:rFonts w:ascii="Verdana" w:eastAsia="Times New Roman" w:hAnsi="Verdana" w:cs="Times New Roman"/>
                                        <w:b/>
                                        <w:bCs/>
                                        <w:color w:val="5A5050"/>
                                        <w:sz w:val="18"/>
                                        <w:szCs w:val="18"/>
                                        <w:lang w:eastAsia="es-ES"/>
                                      </w:rPr>
                                      <w:t>Stiglitz</w:t>
                                    </w:r>
                                    <w:proofErr w:type="spellEnd"/>
                                    <w:r w:rsidRPr="004A075F">
                                      <w:rPr>
                                        <w:rFonts w:ascii="Verdana" w:eastAsia="Times New Roman" w:hAnsi="Verdana" w:cs="Times New Roman"/>
                                        <w:color w:val="5A5050"/>
                                        <w:sz w:val="18"/>
                                        <w:szCs w:val="18"/>
                                        <w:lang w:eastAsia="es-ES"/>
                                      </w:rPr>
                                      <w:t>;</w:t>
                                    </w:r>
                                    <w:r w:rsidRPr="004A075F">
                                      <w:rPr>
                                        <w:rFonts w:ascii="Verdana" w:eastAsia="Times New Roman" w:hAnsi="Verdana" w:cs="Times New Roman"/>
                                        <w:color w:val="5A5050"/>
                                        <w:sz w:val="18"/>
                                        <w:lang w:eastAsia="es-ES"/>
                                      </w:rPr>
                                      <w:t> </w:t>
                                    </w:r>
                                    <w:r w:rsidRPr="004A075F">
                                      <w:rPr>
                                        <w:rFonts w:ascii="Verdana" w:eastAsia="Times New Roman" w:hAnsi="Verdana" w:cs="Times New Roman"/>
                                        <w:b/>
                                        <w:bCs/>
                                        <w:color w:val="5A5050"/>
                                        <w:sz w:val="18"/>
                                        <w:szCs w:val="18"/>
                                        <w:lang w:eastAsia="es-ES"/>
                                      </w:rPr>
                                      <w:t xml:space="preserve">Janet </w:t>
                                    </w:r>
                                    <w:proofErr w:type="spellStart"/>
                                    <w:r w:rsidRPr="004A075F">
                                      <w:rPr>
                                        <w:rFonts w:ascii="Verdana" w:eastAsia="Times New Roman" w:hAnsi="Verdana" w:cs="Times New Roman"/>
                                        <w:b/>
                                        <w:bCs/>
                                        <w:color w:val="5A5050"/>
                                        <w:sz w:val="18"/>
                                        <w:szCs w:val="18"/>
                                        <w:lang w:eastAsia="es-ES"/>
                                      </w:rPr>
                                      <w:t>Gornick</w:t>
                                    </w:r>
                                    <w:proofErr w:type="spellEnd"/>
                                    <w:r w:rsidRPr="004A075F">
                                      <w:rPr>
                                        <w:rFonts w:ascii="Verdana" w:eastAsia="Times New Roman" w:hAnsi="Verdana" w:cs="Times New Roman"/>
                                        <w:color w:val="5A5050"/>
                                        <w:sz w:val="18"/>
                                        <w:szCs w:val="18"/>
                                        <w:lang w:eastAsia="es-ES"/>
                                      </w:rPr>
                                      <w:t>, profesora en la facultad de Maestría de CUNY y directora del Estudio de Ingreso de Luxemburgo; y</w:t>
                                    </w:r>
                                    <w:r w:rsidRPr="004A075F">
                                      <w:rPr>
                                        <w:rFonts w:ascii="Verdana" w:eastAsia="Times New Roman" w:hAnsi="Verdana" w:cs="Times New Roman"/>
                                        <w:color w:val="5A5050"/>
                                        <w:sz w:val="18"/>
                                        <w:lang w:eastAsia="es-ES"/>
                                      </w:rPr>
                                      <w:t> </w:t>
                                    </w:r>
                                    <w:r w:rsidRPr="004A075F">
                                      <w:rPr>
                                        <w:rFonts w:ascii="Verdana" w:eastAsia="Times New Roman" w:hAnsi="Verdana" w:cs="Times New Roman"/>
                                        <w:b/>
                                        <w:bCs/>
                                        <w:color w:val="5A5050"/>
                                        <w:sz w:val="18"/>
                                        <w:szCs w:val="18"/>
                                        <w:lang w:eastAsia="es-ES"/>
                                      </w:rPr>
                                      <w:t xml:space="preserve">Richard </w:t>
                                    </w:r>
                                    <w:proofErr w:type="spellStart"/>
                                    <w:r w:rsidRPr="004A075F">
                                      <w:rPr>
                                        <w:rFonts w:ascii="Verdana" w:eastAsia="Times New Roman" w:hAnsi="Verdana" w:cs="Times New Roman"/>
                                        <w:b/>
                                        <w:bCs/>
                                        <w:color w:val="5A5050"/>
                                        <w:sz w:val="18"/>
                                        <w:szCs w:val="18"/>
                                        <w:lang w:eastAsia="es-ES"/>
                                      </w:rPr>
                                      <w:t>Freeman</w:t>
                                    </w:r>
                                    <w:proofErr w:type="spellEnd"/>
                                    <w:r w:rsidRPr="004A075F">
                                      <w:rPr>
                                        <w:rFonts w:ascii="Verdana" w:eastAsia="Times New Roman" w:hAnsi="Verdana" w:cs="Times New Roman"/>
                                        <w:color w:val="5A5050"/>
                                        <w:sz w:val="18"/>
                                        <w:szCs w:val="18"/>
                                        <w:lang w:eastAsia="es-ES"/>
                                      </w:rPr>
                                      <w:t>, profesor de economía en la Universidad de Harvard.</w:t>
                                    </w:r>
                                  </w:p>
                                </w:tc>
                              </w:tr>
                            </w:tbl>
                            <w:p w:rsidR="004A075F" w:rsidRPr="004A075F" w:rsidRDefault="004A075F" w:rsidP="004A075F">
                              <w:pPr>
                                <w:spacing w:after="0" w:line="240" w:lineRule="auto"/>
                                <w:jc w:val="both"/>
                                <w:rPr>
                                  <w:rFonts w:ascii="Arial" w:eastAsia="Times New Roman" w:hAnsi="Arial" w:cs="Arial"/>
                                  <w:sz w:val="24"/>
                                  <w:szCs w:val="24"/>
                                  <w:lang w:eastAsia="es-ES"/>
                                </w:rPr>
                              </w:pPr>
                            </w:p>
                          </w:tc>
                        </w:tr>
                      </w:tbl>
                      <w:p w:rsidR="004A075F" w:rsidRPr="004A075F" w:rsidRDefault="004A075F" w:rsidP="004A075F">
                        <w:pPr>
                          <w:spacing w:after="0" w:line="240" w:lineRule="auto"/>
                          <w:jc w:val="both"/>
                          <w:rPr>
                            <w:rFonts w:ascii="Arial" w:eastAsia="Times New Roman" w:hAnsi="Arial" w:cs="Arial"/>
                            <w:sz w:val="24"/>
                            <w:szCs w:val="24"/>
                            <w:lang w:eastAsia="es-ES"/>
                          </w:rPr>
                        </w:pPr>
                      </w:p>
                    </w:tc>
                  </w:tr>
                </w:tbl>
                <w:p w:rsidR="004A075F" w:rsidRPr="004A075F" w:rsidRDefault="004A075F" w:rsidP="004A075F">
                  <w:pPr>
                    <w:spacing w:after="0" w:line="240" w:lineRule="auto"/>
                    <w:jc w:val="both"/>
                    <w:rPr>
                      <w:rFonts w:ascii="Arial" w:eastAsia="Times New Roman" w:hAnsi="Arial" w:cs="Arial"/>
                      <w:vanish/>
                      <w:sz w:val="24"/>
                      <w:szCs w:val="24"/>
                      <w:lang w:eastAsia="es-ES"/>
                    </w:rPr>
                  </w:pPr>
                </w:p>
                <w:tbl>
                  <w:tblPr>
                    <w:tblW w:w="9000" w:type="dxa"/>
                    <w:tblCellMar>
                      <w:left w:w="0" w:type="dxa"/>
                      <w:right w:w="0" w:type="dxa"/>
                    </w:tblCellMar>
                    <w:tblLook w:val="04A0"/>
                  </w:tblPr>
                  <w:tblGrid>
                    <w:gridCol w:w="9000"/>
                  </w:tblGrid>
                  <w:tr w:rsidR="004A075F" w:rsidRPr="004A075F">
                    <w:tc>
                      <w:tcPr>
                        <w:tcW w:w="0" w:type="auto"/>
                        <w:tcMar>
                          <w:top w:w="135" w:type="dxa"/>
                          <w:left w:w="0" w:type="dxa"/>
                          <w:bottom w:w="0" w:type="dxa"/>
                          <w:right w:w="0" w:type="dxa"/>
                        </w:tcMar>
                        <w:hideMark/>
                      </w:tcPr>
                      <w:tbl>
                        <w:tblPr>
                          <w:tblW w:w="9000" w:type="dxa"/>
                          <w:jc w:val="center"/>
                          <w:tblCellMar>
                            <w:left w:w="0" w:type="dxa"/>
                            <w:right w:w="0" w:type="dxa"/>
                          </w:tblCellMar>
                          <w:tblLook w:val="04A0"/>
                        </w:tblPr>
                        <w:tblGrid>
                          <w:gridCol w:w="9000"/>
                        </w:tblGrid>
                        <w:tr w:rsidR="004A075F" w:rsidRPr="004A075F">
                          <w:trPr>
                            <w:jc w:val="center"/>
                          </w:trPr>
                          <w:tc>
                            <w:tcPr>
                              <w:tcW w:w="0" w:type="auto"/>
                              <w:tcMar>
                                <w:top w:w="0" w:type="dxa"/>
                                <w:left w:w="270" w:type="dxa"/>
                                <w:bottom w:w="135" w:type="dxa"/>
                                <w:right w:w="270" w:type="dxa"/>
                              </w:tcMar>
                              <w:hideMark/>
                            </w:tcPr>
                            <w:p w:rsidR="004A075F" w:rsidRPr="004A075F" w:rsidRDefault="004A075F" w:rsidP="004A075F">
                              <w:pPr>
                                <w:spacing w:after="0" w:line="405" w:lineRule="atLeast"/>
                                <w:jc w:val="both"/>
                                <w:outlineLvl w:val="2"/>
                                <w:rPr>
                                  <w:rFonts w:ascii="Helvetica" w:eastAsia="Times New Roman" w:hAnsi="Helvetica" w:cs="Helvetica"/>
                                  <w:b/>
                                  <w:bCs/>
                                  <w:color w:val="5A5050"/>
                                  <w:spacing w:val="-15"/>
                                  <w:sz w:val="27"/>
                                  <w:szCs w:val="27"/>
                                  <w:lang w:eastAsia="es-ES"/>
                                </w:rPr>
                              </w:pPr>
                              <w:r w:rsidRPr="004A075F">
                                <w:rPr>
                                  <w:rFonts w:ascii="Helvetica" w:eastAsia="Times New Roman" w:hAnsi="Helvetica" w:cs="Helvetica"/>
                                  <w:b/>
                                  <w:bCs/>
                                  <w:color w:val="5A5050"/>
                                  <w:spacing w:val="-15"/>
                                  <w:sz w:val="27"/>
                                  <w:szCs w:val="27"/>
                                  <w:lang w:eastAsia="es-ES"/>
                                </w:rPr>
                                <w:t>Si usted valora el trabajo de CEPR, por favor considere hacer una donación.</w:t>
                              </w:r>
                            </w:p>
                          </w:tc>
                        </w:tr>
                      </w:tbl>
                      <w:p w:rsidR="004A075F" w:rsidRPr="004A075F" w:rsidRDefault="004A075F" w:rsidP="004A075F">
                        <w:pPr>
                          <w:spacing w:after="0" w:line="240" w:lineRule="auto"/>
                          <w:jc w:val="both"/>
                          <w:rPr>
                            <w:rFonts w:ascii="Arial" w:eastAsia="Times New Roman" w:hAnsi="Arial" w:cs="Arial"/>
                            <w:sz w:val="24"/>
                            <w:szCs w:val="24"/>
                            <w:lang w:eastAsia="es-ES"/>
                          </w:rPr>
                        </w:pPr>
                      </w:p>
                    </w:tc>
                  </w:tr>
                </w:tbl>
                <w:p w:rsidR="004A075F" w:rsidRPr="004A075F" w:rsidRDefault="004A075F" w:rsidP="004A075F">
                  <w:pPr>
                    <w:spacing w:after="0" w:line="240" w:lineRule="auto"/>
                    <w:jc w:val="both"/>
                    <w:rPr>
                      <w:rFonts w:ascii="Arial" w:eastAsia="Times New Roman" w:hAnsi="Arial" w:cs="Arial"/>
                      <w:vanish/>
                      <w:sz w:val="24"/>
                      <w:szCs w:val="24"/>
                      <w:lang w:eastAsia="es-ES"/>
                    </w:rPr>
                  </w:pPr>
                </w:p>
                <w:tbl>
                  <w:tblPr>
                    <w:tblW w:w="9000" w:type="dxa"/>
                    <w:tblCellMar>
                      <w:left w:w="0" w:type="dxa"/>
                      <w:right w:w="0" w:type="dxa"/>
                    </w:tblCellMar>
                    <w:tblLook w:val="04A0"/>
                  </w:tblPr>
                  <w:tblGrid>
                    <w:gridCol w:w="9000"/>
                  </w:tblGrid>
                  <w:tr w:rsidR="004A075F" w:rsidRPr="004A075F">
                    <w:tc>
                      <w:tcPr>
                        <w:tcW w:w="0" w:type="auto"/>
                        <w:tcMar>
                          <w:top w:w="135" w:type="dxa"/>
                          <w:left w:w="135" w:type="dxa"/>
                          <w:bottom w:w="135" w:type="dxa"/>
                          <w:right w:w="135" w:type="dxa"/>
                        </w:tcMar>
                        <w:hideMark/>
                      </w:tcPr>
                      <w:tbl>
                        <w:tblPr>
                          <w:tblW w:w="5000" w:type="pct"/>
                          <w:tblCellMar>
                            <w:left w:w="0" w:type="dxa"/>
                            <w:right w:w="0" w:type="dxa"/>
                          </w:tblCellMar>
                          <w:tblLook w:val="04A0"/>
                        </w:tblPr>
                        <w:tblGrid>
                          <w:gridCol w:w="8730"/>
                        </w:tblGrid>
                        <w:tr w:rsidR="004A075F" w:rsidRPr="004A075F">
                          <w:tc>
                            <w:tcPr>
                              <w:tcW w:w="0" w:type="auto"/>
                              <w:tcMar>
                                <w:top w:w="0" w:type="dxa"/>
                                <w:left w:w="135" w:type="dxa"/>
                                <w:bottom w:w="0" w:type="dxa"/>
                                <w:right w:w="135" w:type="dxa"/>
                              </w:tcMar>
                              <w:hideMark/>
                            </w:tcPr>
                            <w:tbl>
                              <w:tblPr>
                                <w:tblpPr w:leftFromText="45" w:rightFromText="45" w:vertAnchor="text"/>
                                <w:tblW w:w="5000" w:type="pct"/>
                                <w:tblCellMar>
                                  <w:left w:w="0" w:type="dxa"/>
                                  <w:right w:w="0" w:type="dxa"/>
                                </w:tblCellMar>
                                <w:tblLook w:val="04A0"/>
                              </w:tblPr>
                              <w:tblGrid>
                                <w:gridCol w:w="8460"/>
                              </w:tblGrid>
                              <w:tr w:rsidR="004A075F" w:rsidRPr="004A075F">
                                <w:tc>
                                  <w:tcPr>
                                    <w:tcW w:w="0" w:type="auto"/>
                                    <w:hideMark/>
                                  </w:tcPr>
                                  <w:p w:rsidR="004A075F" w:rsidRPr="004A075F" w:rsidRDefault="004A075F" w:rsidP="004A075F">
                                    <w:pPr>
                                      <w:spacing w:before="240" w:after="24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i/>
                                        <w:iCs/>
                                        <w:color w:val="5A5050"/>
                                        <w:sz w:val="21"/>
                                        <w:lang w:eastAsia="es-ES"/>
                                      </w:rPr>
                                      <w:t>"El Centro de Investigación en Economía y Política es un recurso vital y excepcional. El trabajo que hace CEPR es un componente esencial y necesario de la estrategia general para que Estados Unidos se dirija hacia la justicia económica sostenible".</w:t>
                                    </w:r>
                                  </w:p>
                                  <w:p w:rsidR="004A075F" w:rsidRPr="004A075F" w:rsidRDefault="004A075F" w:rsidP="004A075F">
                                    <w:pPr>
                                      <w:spacing w:before="240" w:after="240" w:line="315" w:lineRule="atLeast"/>
                                      <w:jc w:val="both"/>
                                      <w:rPr>
                                        <w:rFonts w:ascii="Verdana" w:eastAsia="Times New Roman" w:hAnsi="Verdana" w:cs="Times New Roman"/>
                                        <w:color w:val="5A5050"/>
                                        <w:sz w:val="21"/>
                                        <w:szCs w:val="21"/>
                                        <w:lang w:eastAsia="es-ES"/>
                                      </w:rPr>
                                    </w:pPr>
                                    <w:r w:rsidRPr="004A075F">
                                      <w:rPr>
                                        <w:rFonts w:ascii="Verdana" w:eastAsia="Times New Roman" w:hAnsi="Verdana" w:cs="Times New Roman"/>
                                        <w:color w:val="5A5050"/>
                                        <w:sz w:val="21"/>
                                        <w:szCs w:val="21"/>
                                        <w:lang w:eastAsia="es-ES"/>
                                      </w:rPr>
                                      <w:t xml:space="preserve">—Mario </w:t>
                                    </w:r>
                                    <w:proofErr w:type="spellStart"/>
                                    <w:r w:rsidRPr="004A075F">
                                      <w:rPr>
                                        <w:rFonts w:ascii="Verdana" w:eastAsia="Times New Roman" w:hAnsi="Verdana" w:cs="Times New Roman"/>
                                        <w:color w:val="5A5050"/>
                                        <w:sz w:val="21"/>
                                        <w:szCs w:val="21"/>
                                        <w:lang w:eastAsia="es-ES"/>
                                      </w:rPr>
                                      <w:t>Solis</w:t>
                                    </w:r>
                                    <w:proofErr w:type="spellEnd"/>
                                    <w:r w:rsidRPr="004A075F">
                                      <w:rPr>
                                        <w:rFonts w:ascii="Verdana" w:eastAsia="Times New Roman" w:hAnsi="Verdana" w:cs="Times New Roman"/>
                                        <w:color w:val="5A5050"/>
                                        <w:sz w:val="21"/>
                                        <w:szCs w:val="21"/>
                                        <w:lang w:eastAsia="es-ES"/>
                                      </w:rPr>
                                      <w:t xml:space="preserve"> </w:t>
                                    </w:r>
                                    <w:proofErr w:type="spellStart"/>
                                    <w:r w:rsidRPr="004A075F">
                                      <w:rPr>
                                        <w:rFonts w:ascii="Verdana" w:eastAsia="Times New Roman" w:hAnsi="Verdana" w:cs="Times New Roman"/>
                                        <w:color w:val="5A5050"/>
                                        <w:sz w:val="21"/>
                                        <w:szCs w:val="21"/>
                                        <w:lang w:eastAsia="es-ES"/>
                                      </w:rPr>
                                      <w:t>Marich</w:t>
                                    </w:r>
                                    <w:proofErr w:type="spellEnd"/>
                                    <w:r w:rsidRPr="004A075F">
                                      <w:rPr>
                                        <w:rFonts w:ascii="Verdana" w:eastAsia="Times New Roman" w:hAnsi="Verdana" w:cs="Times New Roman"/>
                                        <w:color w:val="5A5050"/>
                                        <w:sz w:val="21"/>
                                        <w:szCs w:val="21"/>
                                        <w:lang w:eastAsia="es-ES"/>
                                      </w:rPr>
                                      <w:t>, presentador del programa “</w:t>
                                    </w:r>
                                    <w:proofErr w:type="spellStart"/>
                                    <w:r w:rsidRPr="004A075F">
                                      <w:rPr>
                                        <w:rFonts w:ascii="Verdana" w:eastAsia="Times New Roman" w:hAnsi="Verdana" w:cs="Times New Roman"/>
                                        <w:color w:val="5A5050"/>
                                        <w:sz w:val="21"/>
                                        <w:szCs w:val="21"/>
                                        <w:lang w:eastAsia="es-ES"/>
                                      </w:rPr>
                                      <w:t>The</w:t>
                                    </w:r>
                                    <w:proofErr w:type="spellEnd"/>
                                    <w:r w:rsidRPr="004A075F">
                                      <w:rPr>
                                        <w:rFonts w:ascii="Verdana" w:eastAsia="Times New Roman" w:hAnsi="Verdana" w:cs="Times New Roman"/>
                                        <w:color w:val="5A5050"/>
                                        <w:sz w:val="21"/>
                                        <w:szCs w:val="21"/>
                                        <w:lang w:eastAsia="es-ES"/>
                                      </w:rPr>
                                      <w:t xml:space="preserve"> Mario </w:t>
                                    </w:r>
                                    <w:proofErr w:type="spellStart"/>
                                    <w:r w:rsidRPr="004A075F">
                                      <w:rPr>
                                        <w:rFonts w:ascii="Verdana" w:eastAsia="Times New Roman" w:hAnsi="Verdana" w:cs="Times New Roman"/>
                                        <w:color w:val="5A5050"/>
                                        <w:sz w:val="21"/>
                                        <w:szCs w:val="21"/>
                                        <w:lang w:eastAsia="es-ES"/>
                                      </w:rPr>
                                      <w:t>Solis</w:t>
                                    </w:r>
                                    <w:proofErr w:type="spellEnd"/>
                                    <w:r w:rsidRPr="004A075F">
                                      <w:rPr>
                                        <w:rFonts w:ascii="Verdana" w:eastAsia="Times New Roman" w:hAnsi="Verdana" w:cs="Times New Roman"/>
                                        <w:color w:val="5A5050"/>
                                        <w:sz w:val="21"/>
                                        <w:szCs w:val="21"/>
                                        <w:lang w:eastAsia="es-ES"/>
                                      </w:rPr>
                                      <w:t xml:space="preserve"> Show” en </w:t>
                                    </w:r>
                                    <w:proofErr w:type="spellStart"/>
                                    <w:r w:rsidRPr="004A075F">
                                      <w:rPr>
                                        <w:rFonts w:ascii="Verdana" w:eastAsia="Times New Roman" w:hAnsi="Verdana" w:cs="Times New Roman"/>
                                        <w:color w:val="5A5050"/>
                                        <w:sz w:val="21"/>
                                        <w:szCs w:val="21"/>
                                        <w:lang w:eastAsia="es-ES"/>
                                      </w:rPr>
                                      <w:t>Progressive</w:t>
                                    </w:r>
                                    <w:proofErr w:type="spellEnd"/>
                                    <w:r w:rsidRPr="004A075F">
                                      <w:rPr>
                                        <w:rFonts w:ascii="Verdana" w:eastAsia="Times New Roman" w:hAnsi="Verdana" w:cs="Times New Roman"/>
                                        <w:color w:val="5A5050"/>
                                        <w:sz w:val="21"/>
                                        <w:szCs w:val="21"/>
                                        <w:lang w:eastAsia="es-ES"/>
                                      </w:rPr>
                                      <w:t xml:space="preserve"> </w:t>
                                    </w:r>
                                    <w:proofErr w:type="spellStart"/>
                                    <w:r w:rsidRPr="004A075F">
                                      <w:rPr>
                                        <w:rFonts w:ascii="Verdana" w:eastAsia="Times New Roman" w:hAnsi="Verdana" w:cs="Times New Roman"/>
                                        <w:color w:val="5A5050"/>
                                        <w:sz w:val="21"/>
                                        <w:szCs w:val="21"/>
                                        <w:lang w:eastAsia="es-ES"/>
                                      </w:rPr>
                                      <w:t>Talk</w:t>
                                    </w:r>
                                    <w:proofErr w:type="spellEnd"/>
                                    <w:r w:rsidRPr="004A075F">
                                      <w:rPr>
                                        <w:rFonts w:ascii="Verdana" w:eastAsia="Times New Roman" w:hAnsi="Verdana" w:cs="Times New Roman"/>
                                        <w:color w:val="5A5050"/>
                                        <w:sz w:val="21"/>
                                        <w:szCs w:val="21"/>
                                        <w:lang w:eastAsia="es-ES"/>
                                      </w:rPr>
                                      <w:t xml:space="preserve"> Radio</w:t>
                                    </w:r>
                                  </w:p>
                                </w:tc>
                              </w:tr>
                            </w:tbl>
                            <w:p w:rsidR="004A075F" w:rsidRPr="004A075F" w:rsidRDefault="004A075F" w:rsidP="004A075F">
                              <w:pPr>
                                <w:spacing w:after="0" w:line="240" w:lineRule="auto"/>
                                <w:jc w:val="both"/>
                                <w:rPr>
                                  <w:rFonts w:ascii="Arial" w:eastAsia="Times New Roman" w:hAnsi="Arial" w:cs="Arial"/>
                                  <w:sz w:val="24"/>
                                  <w:szCs w:val="24"/>
                                  <w:lang w:eastAsia="es-ES"/>
                                </w:rPr>
                              </w:pPr>
                            </w:p>
                          </w:tc>
                        </w:tr>
                      </w:tbl>
                      <w:p w:rsidR="004A075F" w:rsidRPr="004A075F" w:rsidRDefault="004A075F" w:rsidP="004A075F">
                        <w:pPr>
                          <w:spacing w:after="0" w:line="240" w:lineRule="auto"/>
                          <w:jc w:val="both"/>
                          <w:rPr>
                            <w:rFonts w:ascii="Arial" w:eastAsia="Times New Roman" w:hAnsi="Arial" w:cs="Arial"/>
                            <w:sz w:val="24"/>
                            <w:szCs w:val="24"/>
                            <w:lang w:eastAsia="es-ES"/>
                          </w:rPr>
                        </w:pPr>
                      </w:p>
                    </w:tc>
                  </w:tr>
                </w:tbl>
                <w:p w:rsidR="004A075F" w:rsidRPr="004A075F" w:rsidRDefault="004A075F" w:rsidP="004A075F">
                  <w:pPr>
                    <w:spacing w:after="0" w:line="240" w:lineRule="auto"/>
                    <w:jc w:val="both"/>
                    <w:rPr>
                      <w:rFonts w:ascii="Arial" w:eastAsia="Times New Roman" w:hAnsi="Arial" w:cs="Arial"/>
                      <w:sz w:val="24"/>
                      <w:szCs w:val="24"/>
                      <w:lang w:eastAsia="es-ES"/>
                    </w:rPr>
                  </w:pPr>
                </w:p>
              </w:tc>
            </w:tr>
          </w:tbl>
          <w:p w:rsidR="004A075F" w:rsidRPr="004A075F" w:rsidRDefault="004A075F" w:rsidP="004A075F">
            <w:pPr>
              <w:spacing w:after="0" w:line="240" w:lineRule="auto"/>
              <w:jc w:val="both"/>
              <w:rPr>
                <w:rFonts w:ascii="Arial" w:eastAsia="Times New Roman" w:hAnsi="Arial" w:cs="Arial"/>
                <w:color w:val="000000"/>
                <w:sz w:val="24"/>
                <w:szCs w:val="24"/>
                <w:lang w:eastAsia="es-ES"/>
              </w:rPr>
            </w:pPr>
          </w:p>
        </w:tc>
      </w:tr>
    </w:tbl>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075F"/>
    <w:rsid w:val="004A075F"/>
    <w:rsid w:val="0057728F"/>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4A0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4A075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75F"/>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4A075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4A075F"/>
    <w:rPr>
      <w:color w:val="0000FF"/>
      <w:u w:val="single"/>
    </w:rPr>
  </w:style>
  <w:style w:type="character" w:customStyle="1" w:styleId="apple-converted-space">
    <w:name w:val="apple-converted-space"/>
    <w:basedOn w:val="Fuentedeprrafopredeter"/>
    <w:rsid w:val="004A075F"/>
  </w:style>
  <w:style w:type="paragraph" w:styleId="NormalWeb">
    <w:name w:val="Normal (Web)"/>
    <w:basedOn w:val="Normal"/>
    <w:uiPriority w:val="99"/>
    <w:unhideWhenUsed/>
    <w:rsid w:val="004A07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A075F"/>
    <w:rPr>
      <w:i/>
      <w:iCs/>
    </w:rPr>
  </w:style>
  <w:style w:type="paragraph" w:styleId="Textodeglobo">
    <w:name w:val="Balloon Text"/>
    <w:basedOn w:val="Normal"/>
    <w:link w:val="TextodegloboCar"/>
    <w:uiPriority w:val="99"/>
    <w:semiHidden/>
    <w:unhideWhenUsed/>
    <w:rsid w:val="004A07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7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703110">
      <w:bodyDiv w:val="1"/>
      <w:marLeft w:val="0"/>
      <w:marRight w:val="0"/>
      <w:marTop w:val="0"/>
      <w:marBottom w:val="0"/>
      <w:divBdr>
        <w:top w:val="none" w:sz="0" w:space="0" w:color="auto"/>
        <w:left w:val="none" w:sz="0" w:space="0" w:color="auto"/>
        <w:bottom w:val="none" w:sz="0" w:space="0" w:color="auto"/>
        <w:right w:val="none" w:sz="0" w:space="0" w:color="auto"/>
      </w:divBdr>
      <w:divsChild>
        <w:div w:id="1922252274">
          <w:marLeft w:val="0"/>
          <w:marRight w:val="0"/>
          <w:marTop w:val="0"/>
          <w:marBottom w:val="0"/>
          <w:divBdr>
            <w:top w:val="none" w:sz="0" w:space="0" w:color="auto"/>
            <w:left w:val="none" w:sz="0" w:space="0" w:color="auto"/>
            <w:bottom w:val="none" w:sz="0" w:space="0" w:color="auto"/>
            <w:right w:val="none" w:sz="0" w:space="0" w:color="auto"/>
          </w:divBdr>
        </w:div>
        <w:div w:id="243076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g.salsalabs.com/dia/track.jsp?v=2&amp;c=vwJwl9j4YfX5MLzgPM%2BnuVpGJRw5plLH" TargetMode="External"/><Relationship Id="rId13" Type="http://schemas.openxmlformats.org/officeDocument/2006/relationships/hyperlink" Target="http://org.salsalabs.com/dia/track.jsp?v=2&amp;c=q5fIVW29Qu7RdyTOtkjCyFpGJRw5plLH" TargetMode="External"/><Relationship Id="rId18" Type="http://schemas.openxmlformats.org/officeDocument/2006/relationships/hyperlink" Target="http://org.salsalabs.com/dia/track.jsp?v=2&amp;c=rbEDCJRTlCtZ%2BWtXAwYRU1pGJRw5plL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org.salsalabs.com/dia/track.jsp?v=2&amp;c=6BLWxe2XQjBqxKR0Pb9cTlpGJRw5plLH" TargetMode="External"/><Relationship Id="rId7" Type="http://schemas.openxmlformats.org/officeDocument/2006/relationships/hyperlink" Target="http://org.salsalabs.com/dia/track.jsp?v=2&amp;c=c7aO33kz4MwSFLg2gGUunlpGJRw5plLH" TargetMode="External"/><Relationship Id="rId12" Type="http://schemas.openxmlformats.org/officeDocument/2006/relationships/hyperlink" Target="http://org.salsalabs.com/dia/track.jsp?v=2&amp;c=7PtzNE2K76JPakaPJagpvJNw13HbgPeO" TargetMode="External"/><Relationship Id="rId17" Type="http://schemas.openxmlformats.org/officeDocument/2006/relationships/hyperlink" Target="http://org.salsalabs.com/dia/track.jsp?v=2&amp;c=%2BzBc4GPPQLtxCrxFAQnNDFpGJRw5plL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org.salsalabs.com/dia/track.jsp?v=2&amp;c=PSD9390e5%2BEXrvHXo9oIKFpGJRw5plLH" TargetMode="External"/><Relationship Id="rId20" Type="http://schemas.openxmlformats.org/officeDocument/2006/relationships/hyperlink" Target="http://org.salsalabs.com/dia/track.jsp?v=2&amp;c=YgGvv3zu771b5NjrPIw8gVpGJRw5plLH" TargetMode="External"/><Relationship Id="rId1" Type="http://schemas.openxmlformats.org/officeDocument/2006/relationships/styles" Target="styles.xml"/><Relationship Id="rId6" Type="http://schemas.openxmlformats.org/officeDocument/2006/relationships/hyperlink" Target="http://org.salsalabs.com/dia/track.jsp?v=2&amp;c=WNjNejy7DAV6qokKjTfCeFpGJRw5plLH" TargetMode="External"/><Relationship Id="rId11" Type="http://schemas.openxmlformats.org/officeDocument/2006/relationships/hyperlink" Target="http://org.salsalabs.com/dia/track.jsp?v=2&amp;c=aKT59wCtjP3QIMaJYklfKFpGJRw5plLH" TargetMode="External"/><Relationship Id="rId24" Type="http://schemas.openxmlformats.org/officeDocument/2006/relationships/hyperlink" Target="http://org.salsalabs.com/dia/track.jsp?v=2&amp;c=VX2RjBxTSc9Pw%2F%2FTPcDeHpNw13HbgPeO" TargetMode="External"/><Relationship Id="rId5" Type="http://schemas.openxmlformats.org/officeDocument/2006/relationships/image" Target="media/image1.png"/><Relationship Id="rId15" Type="http://schemas.openxmlformats.org/officeDocument/2006/relationships/hyperlink" Target="http://org.salsalabs.com/dia/track.jsp?v=2&amp;c=WICkYQ1U3mslGCSMCplyVFpGJRw5plLH" TargetMode="External"/><Relationship Id="rId23" Type="http://schemas.openxmlformats.org/officeDocument/2006/relationships/hyperlink" Target="http://org.salsalabs.com/dia/track.jsp?v=2&amp;c=eV7iLk9G6tq4wNctr5x2SFpGJRw5plLH" TargetMode="External"/><Relationship Id="rId10" Type="http://schemas.openxmlformats.org/officeDocument/2006/relationships/hyperlink" Target="http://org.salsalabs.com/dia/track.jsp?v=2&amp;c=MnlpIKDHfTqGPPfAaA%2FEo5Nw13HbgPeO" TargetMode="External"/><Relationship Id="rId19" Type="http://schemas.openxmlformats.org/officeDocument/2006/relationships/hyperlink" Target="http://org.salsalabs.com/dia/track.jsp?v=2&amp;c=mZIm7FvvDV5Fm%2BsaR9m9UlpGJRw5plLH" TargetMode="External"/><Relationship Id="rId4" Type="http://schemas.openxmlformats.org/officeDocument/2006/relationships/hyperlink" Target="http://org.salsalabs.com/dia/track.jsp?v=2&amp;c=hDERDpFXodIYxEust7a3PJNw13HbgPeO" TargetMode="External"/><Relationship Id="rId9" Type="http://schemas.openxmlformats.org/officeDocument/2006/relationships/hyperlink" Target="http://org.salsalabs.com/dia/track.jsp?v=2&amp;c=QjTtEp0aT6stZC4G9ds3EFpGJRw5plLH" TargetMode="External"/><Relationship Id="rId14" Type="http://schemas.openxmlformats.org/officeDocument/2006/relationships/hyperlink" Target="http://org.salsalabs.com/dia/track.jsp?v=2&amp;c=WLYLgTQNBNHAkLpqapX40lpGJRw5plLH" TargetMode="External"/><Relationship Id="rId2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1565</Words>
  <Characters>8610</Characters>
  <Application>Microsoft Office Word</Application>
  <DocSecurity>0</DocSecurity>
  <Lines>71</Lines>
  <Paragraphs>20</Paragraphs>
  <ScaleCrop>false</ScaleCrop>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2016-11-01T20:37:00Z</dcterms:created>
  <dcterms:modified xsi:type="dcterms:W3CDTF">2016-11-01T20:39:00Z</dcterms:modified>
</cp:coreProperties>
</file>