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3BEC2" w14:textId="77777777" w:rsidR="00BD1778" w:rsidRDefault="00BD1778" w:rsidP="00BD1778">
      <w:pPr>
        <w:widowControl w:val="0"/>
        <w:autoSpaceDE w:val="0"/>
        <w:autoSpaceDN w:val="0"/>
        <w:adjustRightInd w:val="0"/>
        <w:jc w:val="center"/>
        <w:rPr>
          <w:rFonts w:ascii="Arial" w:hAnsi="Arial" w:cs="Arial"/>
          <w:b/>
          <w:bCs/>
          <w:color w:val="1A1A1A"/>
          <w:sz w:val="38"/>
          <w:szCs w:val="38"/>
        </w:rPr>
      </w:pPr>
      <w:r>
        <w:rPr>
          <w:rFonts w:ascii="Arial" w:hAnsi="Arial" w:cs="Arial"/>
          <w:b/>
          <w:bCs/>
          <w:color w:val="1A1A1A"/>
          <w:sz w:val="30"/>
          <w:szCs w:val="30"/>
        </w:rPr>
        <w:t>El profe</w:t>
      </w:r>
      <w:bookmarkStart w:id="0" w:name="_GoBack"/>
      <w:bookmarkEnd w:id="0"/>
      <w:r>
        <w:rPr>
          <w:rFonts w:ascii="Arial" w:hAnsi="Arial" w:cs="Arial"/>
          <w:b/>
          <w:bCs/>
          <w:color w:val="1A1A1A"/>
          <w:sz w:val="30"/>
          <w:szCs w:val="30"/>
        </w:rPr>
        <w:t>ta Jesús anuncia a los suyos una suerte semejante en la que darán testimonio.</w:t>
      </w:r>
    </w:p>
    <w:p w14:paraId="16AA1323" w14:textId="77777777" w:rsidR="00BD1778" w:rsidRDefault="00BD1778" w:rsidP="00BD1778">
      <w:pPr>
        <w:widowControl w:val="0"/>
        <w:autoSpaceDE w:val="0"/>
        <w:autoSpaceDN w:val="0"/>
        <w:adjustRightInd w:val="0"/>
        <w:jc w:val="center"/>
        <w:rPr>
          <w:rFonts w:ascii="Arial" w:hAnsi="Arial" w:cs="Arial"/>
          <w:b/>
          <w:bCs/>
          <w:color w:val="1A1A1A"/>
          <w:sz w:val="38"/>
          <w:szCs w:val="38"/>
        </w:rPr>
      </w:pPr>
    </w:p>
    <w:p w14:paraId="15ACE688" w14:textId="77777777" w:rsidR="00BD1778" w:rsidRDefault="00BD1778" w:rsidP="00BD1778">
      <w:pPr>
        <w:widowControl w:val="0"/>
        <w:autoSpaceDE w:val="0"/>
        <w:autoSpaceDN w:val="0"/>
        <w:adjustRightInd w:val="0"/>
        <w:jc w:val="center"/>
        <w:rPr>
          <w:rFonts w:ascii="Arial" w:hAnsi="Arial" w:cs="Arial"/>
          <w:color w:val="1A1A1A"/>
          <w:sz w:val="26"/>
          <w:szCs w:val="26"/>
        </w:rPr>
      </w:pPr>
      <w:r>
        <w:rPr>
          <w:rFonts w:ascii="Arial" w:hAnsi="Arial" w:cs="Arial"/>
          <w:color w:val="1A1A1A"/>
          <w:sz w:val="30"/>
          <w:szCs w:val="30"/>
        </w:rPr>
        <w:t>DOMINGO TRIGESIMOTERCERO - "C"</w:t>
      </w:r>
    </w:p>
    <w:p w14:paraId="2514A774" w14:textId="77777777" w:rsidR="00BD1778" w:rsidRDefault="00BD1778" w:rsidP="00BD1778">
      <w:pPr>
        <w:widowControl w:val="0"/>
        <w:autoSpaceDE w:val="0"/>
        <w:autoSpaceDN w:val="0"/>
        <w:adjustRightInd w:val="0"/>
        <w:jc w:val="center"/>
        <w:rPr>
          <w:rFonts w:ascii="Arial" w:hAnsi="Arial" w:cs="Arial"/>
          <w:color w:val="1A1A1A"/>
          <w:sz w:val="26"/>
          <w:szCs w:val="26"/>
        </w:rPr>
      </w:pPr>
    </w:p>
    <w:p w14:paraId="153680E5" w14:textId="76380683" w:rsidR="007667E3" w:rsidRDefault="007667E3" w:rsidP="00BD1778">
      <w:pPr>
        <w:widowControl w:val="0"/>
        <w:autoSpaceDE w:val="0"/>
        <w:autoSpaceDN w:val="0"/>
        <w:adjustRightInd w:val="0"/>
        <w:jc w:val="center"/>
        <w:rPr>
          <w:rFonts w:ascii="Arial" w:hAnsi="Arial" w:cs="Arial"/>
          <w:color w:val="1A1A1A"/>
          <w:sz w:val="26"/>
          <w:szCs w:val="26"/>
        </w:rPr>
      </w:pPr>
      <w:r>
        <w:rPr>
          <w:rFonts w:ascii="Arial" w:hAnsi="Arial" w:cs="Arial"/>
          <w:noProof/>
          <w:color w:val="103CC0"/>
          <w:sz w:val="26"/>
          <w:szCs w:val="26"/>
          <w:lang w:eastAsia="es-ES_tradnl"/>
        </w:rPr>
        <w:drawing>
          <wp:inline distT="0" distB="0" distL="0" distR="0" wp14:anchorId="3348A06B" wp14:editId="47CEFBB8">
            <wp:extent cx="3709670" cy="4946015"/>
            <wp:effectExtent l="0" t="0" r="0" b="6985"/>
            <wp:docPr id="1" name="Imagen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09670" cy="4946015"/>
                    </a:xfrm>
                    <a:prstGeom prst="rect">
                      <a:avLst/>
                    </a:prstGeom>
                    <a:noFill/>
                    <a:ln>
                      <a:noFill/>
                    </a:ln>
                  </pic:spPr>
                </pic:pic>
              </a:graphicData>
            </a:graphic>
          </wp:inline>
        </w:drawing>
      </w:r>
    </w:p>
    <w:p w14:paraId="2468E1E3" w14:textId="77777777" w:rsidR="00BD1778" w:rsidRDefault="00BD1778" w:rsidP="00BD1778">
      <w:pPr>
        <w:widowControl w:val="0"/>
        <w:autoSpaceDE w:val="0"/>
        <w:autoSpaceDN w:val="0"/>
        <w:adjustRightInd w:val="0"/>
        <w:rPr>
          <w:rFonts w:ascii="Arial" w:hAnsi="Arial" w:cs="Arial"/>
          <w:color w:val="1A1A1A"/>
          <w:sz w:val="26"/>
          <w:szCs w:val="26"/>
        </w:rPr>
      </w:pPr>
    </w:p>
    <w:p w14:paraId="66AE85A6" w14:textId="77777777" w:rsidR="00BD1778" w:rsidRPr="00AE7442" w:rsidRDefault="00BD1778" w:rsidP="00BD1778">
      <w:pPr>
        <w:widowControl w:val="0"/>
        <w:autoSpaceDE w:val="0"/>
        <w:autoSpaceDN w:val="0"/>
        <w:adjustRightInd w:val="0"/>
        <w:rPr>
          <w:rFonts w:ascii="Arial" w:hAnsi="Arial" w:cs="Arial"/>
          <w:color w:val="1A1A1A"/>
        </w:rPr>
      </w:pPr>
      <w:r w:rsidRPr="00AE7442">
        <w:rPr>
          <w:rFonts w:ascii="Arial" w:hAnsi="Arial" w:cs="Arial"/>
          <w:i/>
          <w:iCs/>
          <w:color w:val="1A1A1A"/>
        </w:rPr>
        <w:t>Eduardo de la Serna</w:t>
      </w:r>
    </w:p>
    <w:p w14:paraId="1A8A59BE" w14:textId="1F345503" w:rsidR="00BD1778" w:rsidRPr="00AE7442" w:rsidRDefault="00BD1778" w:rsidP="00BD1778">
      <w:pPr>
        <w:widowControl w:val="0"/>
        <w:autoSpaceDE w:val="0"/>
        <w:autoSpaceDN w:val="0"/>
        <w:adjustRightInd w:val="0"/>
        <w:rPr>
          <w:rFonts w:ascii="Arial" w:hAnsi="Arial" w:cs="Arial"/>
          <w:color w:val="1A1A1A"/>
        </w:rPr>
      </w:pPr>
    </w:p>
    <w:p w14:paraId="48A17C41" w14:textId="3E51FFFC" w:rsidR="00BD1778" w:rsidRPr="00AE7442" w:rsidRDefault="00BD1778" w:rsidP="00BD1778">
      <w:pPr>
        <w:widowControl w:val="0"/>
        <w:autoSpaceDE w:val="0"/>
        <w:autoSpaceDN w:val="0"/>
        <w:adjustRightInd w:val="0"/>
        <w:rPr>
          <w:rFonts w:ascii="Arial" w:hAnsi="Arial" w:cs="Arial"/>
          <w:color w:val="1A1A1A"/>
        </w:rPr>
      </w:pPr>
      <w:r w:rsidRPr="00AE7442">
        <w:rPr>
          <w:rFonts w:ascii="Arial" w:hAnsi="Arial" w:cs="Arial"/>
          <w:b/>
          <w:bCs/>
          <w:color w:val="1A1A1A"/>
        </w:rPr>
        <w:t>Lectura de la profecía de Malaquías</w:t>
      </w:r>
      <w:r w:rsidRPr="00AE7442">
        <w:rPr>
          <w:rFonts w:ascii="Arial" w:hAnsi="Arial" w:cs="Arial"/>
          <w:color w:val="1A1A1A"/>
        </w:rPr>
        <w:t xml:space="preserve">     3, 19-20a</w:t>
      </w:r>
    </w:p>
    <w:p w14:paraId="7628A639" w14:textId="30845D77" w:rsidR="00BD1778" w:rsidRPr="00AE7442" w:rsidRDefault="00BD1778" w:rsidP="00BD1778">
      <w:pPr>
        <w:widowControl w:val="0"/>
        <w:autoSpaceDE w:val="0"/>
        <w:autoSpaceDN w:val="0"/>
        <w:adjustRightInd w:val="0"/>
        <w:rPr>
          <w:rFonts w:ascii="Arial" w:hAnsi="Arial" w:cs="Arial"/>
          <w:color w:val="1A1A1A"/>
        </w:rPr>
      </w:pPr>
    </w:p>
    <w:p w14:paraId="107DC608" w14:textId="4C9C03A6" w:rsidR="00BD1778" w:rsidRPr="00AE7442" w:rsidRDefault="00BD1778" w:rsidP="00BD1778">
      <w:pPr>
        <w:widowControl w:val="0"/>
        <w:autoSpaceDE w:val="0"/>
        <w:autoSpaceDN w:val="0"/>
        <w:adjustRightInd w:val="0"/>
        <w:rPr>
          <w:rFonts w:ascii="Arial" w:hAnsi="Arial" w:cs="Arial"/>
          <w:color w:val="1A1A1A"/>
        </w:rPr>
      </w:pPr>
      <w:r w:rsidRPr="00AE7442">
        <w:rPr>
          <w:rFonts w:ascii="Arial" w:hAnsi="Arial" w:cs="Arial"/>
          <w:i/>
          <w:iCs/>
          <w:color w:val="1A1A1A"/>
        </w:rPr>
        <w:t>Resumen: ante la despreocupación de muchos por la intervención de Dios en la historia, Malaquías anuncia que “el día” de Yahvé será indudable, Y el contraste entre lo que les espera a los arrogantes y lo que espera a los justos resulta evidente a la luz del sol.</w:t>
      </w:r>
    </w:p>
    <w:p w14:paraId="4422D4FB" w14:textId="0E2FF093" w:rsidR="00BD1778" w:rsidRPr="00AE7442" w:rsidRDefault="00BD1778" w:rsidP="00BD1778">
      <w:pPr>
        <w:widowControl w:val="0"/>
        <w:autoSpaceDE w:val="0"/>
        <w:autoSpaceDN w:val="0"/>
        <w:adjustRightInd w:val="0"/>
        <w:rPr>
          <w:rFonts w:ascii="Arial" w:hAnsi="Arial" w:cs="Arial"/>
          <w:color w:val="1A1A1A"/>
        </w:rPr>
      </w:pPr>
    </w:p>
    <w:p w14:paraId="0751843E" w14:textId="6C79BC37" w:rsidR="00BD1778" w:rsidRPr="00AE7442" w:rsidRDefault="00BD1778" w:rsidP="00BD1778">
      <w:pPr>
        <w:widowControl w:val="0"/>
        <w:autoSpaceDE w:val="0"/>
        <w:autoSpaceDN w:val="0"/>
        <w:adjustRightInd w:val="0"/>
        <w:jc w:val="both"/>
        <w:rPr>
          <w:rFonts w:ascii="Arial" w:hAnsi="Arial" w:cs="Arial"/>
          <w:color w:val="1A1A1A"/>
        </w:rPr>
      </w:pPr>
      <w:r w:rsidRPr="00AE7442">
        <w:rPr>
          <w:rFonts w:ascii="Arial" w:hAnsi="Arial" w:cs="Arial"/>
          <w:color w:val="1A1A1A"/>
        </w:rPr>
        <w:t xml:space="preserve">El final de Malaquías enfrenta a algunos que parecen guiarse por una suerte de “ateísmo práctico”. Dios no se entera de lo que hacemos o dejamos de hacer, es </w:t>
      </w:r>
      <w:r w:rsidRPr="00AE7442">
        <w:rPr>
          <w:rFonts w:ascii="Arial" w:hAnsi="Arial" w:cs="Arial"/>
          <w:color w:val="1A1A1A"/>
        </w:rPr>
        <w:lastRenderedPageBreak/>
        <w:t xml:space="preserve">indiferente a nuestro obrar, tanto que “los arrogantes” son proclamados “felices” (v.15). Es entonces que Malaquías anuncia que pronto llegará “el </w:t>
      </w:r>
      <w:r w:rsidRPr="00AE7442">
        <w:rPr>
          <w:rFonts w:ascii="Arial" w:hAnsi="Arial" w:cs="Arial"/>
          <w:i/>
          <w:iCs/>
          <w:color w:val="1A1A1A"/>
        </w:rPr>
        <w:t>Día</w:t>
      </w:r>
      <w:r w:rsidRPr="00AE7442">
        <w:rPr>
          <w:rFonts w:ascii="Arial" w:hAnsi="Arial" w:cs="Arial"/>
          <w:color w:val="1A1A1A"/>
        </w:rPr>
        <w:t xml:space="preserve">” en el que Yahvé venga a los suyos.  Este </w:t>
      </w:r>
      <w:r w:rsidRPr="00AE7442">
        <w:rPr>
          <w:rFonts w:ascii="Arial" w:hAnsi="Arial" w:cs="Arial"/>
          <w:i/>
          <w:iCs/>
          <w:color w:val="1A1A1A"/>
        </w:rPr>
        <w:t>día</w:t>
      </w:r>
      <w:r w:rsidRPr="00AE7442">
        <w:rPr>
          <w:rFonts w:ascii="Arial" w:hAnsi="Arial" w:cs="Arial"/>
          <w:color w:val="1A1A1A"/>
        </w:rPr>
        <w:t xml:space="preserve"> es el tema central de todo el cap.3 introducido y concluido por un personaje como Elías que dará la última oportunidad para hacer la voluntad de Dios (3,1.23-24). </w:t>
      </w:r>
    </w:p>
    <w:p w14:paraId="5D4AF6F1" w14:textId="77777777" w:rsidR="00BD1778" w:rsidRPr="00AE7442" w:rsidRDefault="00BD1778" w:rsidP="00BD1778">
      <w:pPr>
        <w:widowControl w:val="0"/>
        <w:autoSpaceDE w:val="0"/>
        <w:autoSpaceDN w:val="0"/>
        <w:adjustRightInd w:val="0"/>
        <w:jc w:val="both"/>
        <w:rPr>
          <w:rFonts w:ascii="Arial" w:hAnsi="Arial" w:cs="Arial"/>
          <w:color w:val="1A1A1A"/>
        </w:rPr>
      </w:pPr>
    </w:p>
    <w:p w14:paraId="1FF07323" w14:textId="77777777" w:rsidR="00BD1778" w:rsidRPr="00AE7442" w:rsidRDefault="00BD1778" w:rsidP="00BD1778">
      <w:pPr>
        <w:widowControl w:val="0"/>
        <w:autoSpaceDE w:val="0"/>
        <w:autoSpaceDN w:val="0"/>
        <w:adjustRightInd w:val="0"/>
        <w:jc w:val="both"/>
        <w:rPr>
          <w:rFonts w:ascii="Arial" w:hAnsi="Arial" w:cs="Arial"/>
          <w:color w:val="1A1A1A"/>
        </w:rPr>
      </w:pPr>
      <w:r w:rsidRPr="00AE7442">
        <w:rPr>
          <w:rFonts w:ascii="Arial" w:hAnsi="Arial" w:cs="Arial"/>
          <w:color w:val="1A1A1A"/>
        </w:rPr>
        <w:t>El texto de la liturgia es el final de este anuncio del “</w:t>
      </w:r>
      <w:r w:rsidRPr="00AE7442">
        <w:rPr>
          <w:rFonts w:ascii="Arial" w:hAnsi="Arial" w:cs="Arial"/>
          <w:i/>
          <w:iCs/>
          <w:color w:val="1A1A1A"/>
        </w:rPr>
        <w:t>día</w:t>
      </w:r>
      <w:r w:rsidRPr="00AE7442">
        <w:rPr>
          <w:rFonts w:ascii="Arial" w:hAnsi="Arial" w:cs="Arial"/>
          <w:color w:val="1A1A1A"/>
        </w:rPr>
        <w:t xml:space="preserve">” de Yahvé, </w:t>
      </w:r>
      <w:r w:rsidRPr="00AE7442">
        <w:rPr>
          <w:rFonts w:ascii="Arial" w:hAnsi="Arial" w:cs="Arial"/>
          <w:i/>
          <w:iCs/>
          <w:color w:val="1A1A1A"/>
        </w:rPr>
        <w:t>día</w:t>
      </w:r>
      <w:r w:rsidRPr="00AE7442">
        <w:rPr>
          <w:rFonts w:ascii="Arial" w:hAnsi="Arial" w:cs="Arial"/>
          <w:color w:val="1A1A1A"/>
        </w:rPr>
        <w:t xml:space="preserve"> presentado como “abrasador como un horno”, y destaca los dos grupos en cuestión y su consecuencia: los que no escuchan la voluntad de Dios y –por el otro lado- los que “temen mi nombre”. Las consecuencias de su conducta contrapuesta serán también opuestas:</w:t>
      </w:r>
    </w:p>
    <w:p w14:paraId="667DDBA8" w14:textId="77777777" w:rsidR="00BD1778" w:rsidRPr="00AE7442" w:rsidRDefault="00BD1778" w:rsidP="00BD1778">
      <w:pPr>
        <w:widowControl w:val="0"/>
        <w:autoSpaceDE w:val="0"/>
        <w:autoSpaceDN w:val="0"/>
        <w:adjustRightInd w:val="0"/>
        <w:jc w:val="both"/>
        <w:rPr>
          <w:rFonts w:ascii="Arial" w:hAnsi="Arial" w:cs="Arial"/>
          <w:color w:val="1A1A1A"/>
        </w:rPr>
      </w:pPr>
    </w:p>
    <w:p w14:paraId="0560A2FD" w14:textId="77777777" w:rsidR="00BD1778" w:rsidRPr="00AE7442" w:rsidRDefault="00BD1778" w:rsidP="00BD1778">
      <w:pPr>
        <w:widowControl w:val="0"/>
        <w:autoSpaceDE w:val="0"/>
        <w:autoSpaceDN w:val="0"/>
        <w:adjustRightInd w:val="0"/>
        <w:rPr>
          <w:rFonts w:ascii="Arial" w:hAnsi="Arial" w:cs="Arial"/>
          <w:color w:val="1A1A1A"/>
        </w:rPr>
      </w:pPr>
      <w:r w:rsidRPr="00AE7442">
        <w:rPr>
          <w:rFonts w:ascii="Arial" w:hAnsi="Arial" w:cs="Arial"/>
          <w:i/>
          <w:iCs/>
          <w:color w:val="1A1A1A"/>
        </w:rPr>
        <w:t>A)</w:t>
      </w:r>
      <w:r w:rsidRPr="00AE7442">
        <w:rPr>
          <w:rFonts w:ascii="Arial" w:hAnsi="Arial" w:cs="Arial"/>
          <w:color w:val="1A1A1A"/>
        </w:rPr>
        <w:t xml:space="preserve">    </w:t>
      </w:r>
      <w:r w:rsidRPr="00AE7442">
        <w:rPr>
          <w:rFonts w:ascii="Arial" w:hAnsi="Arial" w:cs="Arial"/>
          <w:i/>
          <w:iCs/>
          <w:color w:val="1A1A1A"/>
        </w:rPr>
        <w:t>Los arrogantes, cometen impiedad se consumirán (en el horno) como paja</w:t>
      </w:r>
    </w:p>
    <w:p w14:paraId="6759670D" w14:textId="77777777" w:rsidR="00BD1778" w:rsidRPr="00AE7442" w:rsidRDefault="00BD1778" w:rsidP="00BD1778">
      <w:pPr>
        <w:widowControl w:val="0"/>
        <w:autoSpaceDE w:val="0"/>
        <w:autoSpaceDN w:val="0"/>
        <w:adjustRightInd w:val="0"/>
        <w:rPr>
          <w:rFonts w:ascii="Arial" w:hAnsi="Arial" w:cs="Arial"/>
          <w:color w:val="1A1A1A"/>
        </w:rPr>
      </w:pPr>
    </w:p>
    <w:p w14:paraId="6BD33ED4" w14:textId="77777777" w:rsidR="00BD1778" w:rsidRPr="00AE7442" w:rsidRDefault="00BD1778" w:rsidP="00BD1778">
      <w:pPr>
        <w:widowControl w:val="0"/>
        <w:autoSpaceDE w:val="0"/>
        <w:autoSpaceDN w:val="0"/>
        <w:adjustRightInd w:val="0"/>
        <w:rPr>
          <w:rFonts w:ascii="Arial" w:hAnsi="Arial" w:cs="Arial"/>
          <w:color w:val="1A1A1A"/>
        </w:rPr>
      </w:pPr>
      <w:r w:rsidRPr="00AE7442">
        <w:rPr>
          <w:rFonts w:ascii="Arial" w:hAnsi="Arial" w:cs="Arial"/>
          <w:i/>
          <w:iCs/>
          <w:color w:val="1A1A1A"/>
        </w:rPr>
        <w:t>B)</w:t>
      </w:r>
      <w:r w:rsidRPr="00AE7442">
        <w:rPr>
          <w:rFonts w:ascii="Arial" w:hAnsi="Arial" w:cs="Arial"/>
          <w:color w:val="1A1A1A"/>
        </w:rPr>
        <w:t xml:space="preserve">   </w:t>
      </w:r>
      <w:r w:rsidRPr="00AE7442">
        <w:rPr>
          <w:rFonts w:ascii="Arial" w:hAnsi="Arial" w:cs="Arial"/>
          <w:i/>
          <w:iCs/>
          <w:color w:val="1A1A1A"/>
        </w:rPr>
        <w:t>Los que temen el Nombre, brillará el sol de justicia, salud en sus rayos. </w:t>
      </w:r>
    </w:p>
    <w:p w14:paraId="221E3471" w14:textId="77777777" w:rsidR="00BD1778" w:rsidRPr="00AE7442" w:rsidRDefault="00BD1778" w:rsidP="00BD1778">
      <w:pPr>
        <w:widowControl w:val="0"/>
        <w:autoSpaceDE w:val="0"/>
        <w:autoSpaceDN w:val="0"/>
        <w:adjustRightInd w:val="0"/>
        <w:rPr>
          <w:rFonts w:ascii="Arial" w:hAnsi="Arial" w:cs="Arial"/>
          <w:color w:val="1A1A1A"/>
        </w:rPr>
      </w:pPr>
    </w:p>
    <w:p w14:paraId="7BCE9C67" w14:textId="77777777" w:rsidR="00BD1778" w:rsidRPr="00AE7442" w:rsidRDefault="00BD1778" w:rsidP="00BD1778">
      <w:pPr>
        <w:widowControl w:val="0"/>
        <w:autoSpaceDE w:val="0"/>
        <w:autoSpaceDN w:val="0"/>
        <w:adjustRightInd w:val="0"/>
        <w:jc w:val="both"/>
        <w:rPr>
          <w:rFonts w:ascii="Arial" w:hAnsi="Arial" w:cs="Arial"/>
          <w:color w:val="1A1A1A"/>
        </w:rPr>
      </w:pPr>
      <w:r w:rsidRPr="00AE7442">
        <w:rPr>
          <w:rFonts w:ascii="Arial" w:hAnsi="Arial" w:cs="Arial"/>
          <w:color w:val="1A1A1A"/>
        </w:rPr>
        <w:t>La imagen del fuego es habitual para los malvados (</w:t>
      </w:r>
      <w:proofErr w:type="spellStart"/>
      <w:r w:rsidRPr="00AE7442">
        <w:rPr>
          <w:rFonts w:ascii="Arial" w:hAnsi="Arial" w:cs="Arial"/>
          <w:color w:val="1A1A1A"/>
        </w:rPr>
        <w:t>Sof</w:t>
      </w:r>
      <w:proofErr w:type="spellEnd"/>
      <w:r w:rsidRPr="00AE7442">
        <w:rPr>
          <w:rFonts w:ascii="Arial" w:hAnsi="Arial" w:cs="Arial"/>
          <w:color w:val="1A1A1A"/>
        </w:rPr>
        <w:t xml:space="preserve"> 1,8; </w:t>
      </w:r>
      <w:proofErr w:type="spellStart"/>
      <w:r w:rsidRPr="00AE7442">
        <w:rPr>
          <w:rFonts w:ascii="Arial" w:hAnsi="Arial" w:cs="Arial"/>
          <w:color w:val="1A1A1A"/>
        </w:rPr>
        <w:t>Abd</w:t>
      </w:r>
      <w:proofErr w:type="spellEnd"/>
      <w:r w:rsidRPr="00AE7442">
        <w:rPr>
          <w:rFonts w:ascii="Arial" w:hAnsi="Arial" w:cs="Arial"/>
          <w:color w:val="1A1A1A"/>
        </w:rPr>
        <w:t xml:space="preserve"> 18) pero aquí se trata de un horno (cf. Sal 21,10). En </w:t>
      </w:r>
      <w:proofErr w:type="gramStart"/>
      <w:r w:rsidRPr="00AE7442">
        <w:rPr>
          <w:rFonts w:ascii="Arial" w:hAnsi="Arial" w:cs="Arial"/>
          <w:color w:val="1A1A1A"/>
        </w:rPr>
        <w:t>cambio</w:t>
      </w:r>
      <w:proofErr w:type="gramEnd"/>
      <w:r w:rsidRPr="00AE7442">
        <w:rPr>
          <w:rFonts w:ascii="Arial" w:hAnsi="Arial" w:cs="Arial"/>
          <w:color w:val="1A1A1A"/>
        </w:rPr>
        <w:t xml:space="preserve"> el Sal 84,12; 103,3 presenta a </w:t>
      </w:r>
      <w:proofErr w:type="spellStart"/>
      <w:r w:rsidRPr="00AE7442">
        <w:rPr>
          <w:rFonts w:ascii="Arial" w:hAnsi="Arial" w:cs="Arial"/>
          <w:color w:val="1A1A1A"/>
        </w:rPr>
        <w:t>Yahve</w:t>
      </w:r>
      <w:proofErr w:type="spellEnd"/>
      <w:r w:rsidRPr="00AE7442">
        <w:rPr>
          <w:rFonts w:ascii="Arial" w:hAnsi="Arial" w:cs="Arial"/>
          <w:color w:val="1A1A1A"/>
        </w:rPr>
        <w:t xml:space="preserve"> como sol para los virtuosos. La imagen de los rayos sanadores es habitual en el mundo medio oriental, en Egipto, por ejemplo y en Asiria y Babilonia. Sin </w:t>
      </w:r>
      <w:proofErr w:type="gramStart"/>
      <w:r w:rsidRPr="00AE7442">
        <w:rPr>
          <w:rFonts w:ascii="Arial" w:hAnsi="Arial" w:cs="Arial"/>
          <w:color w:val="1A1A1A"/>
        </w:rPr>
        <w:t>embargo</w:t>
      </w:r>
      <w:proofErr w:type="gramEnd"/>
      <w:r w:rsidRPr="00AE7442">
        <w:rPr>
          <w:rFonts w:ascii="Arial" w:hAnsi="Arial" w:cs="Arial"/>
          <w:color w:val="1A1A1A"/>
        </w:rPr>
        <w:t xml:space="preserve"> los opuestos no son “lineales”: a los arrogantes y malvados se contrasta con los que “temen (= respetan) mi nombre” es decir, supone una relación personal. Por otro lado, la maldad es de los humanos, mientras que la justicia es del sol. En el primer día ya no queda nada, todo es consumido; el nuevo día el sol es un amanecer festivo (“</w:t>
      </w:r>
      <w:r w:rsidRPr="00AE7442">
        <w:rPr>
          <w:rFonts w:ascii="Arial" w:hAnsi="Arial" w:cs="Arial"/>
          <w:i/>
          <w:iCs/>
          <w:color w:val="1A1A1A"/>
        </w:rPr>
        <w:t>saldrán brincando</w:t>
      </w:r>
      <w:r w:rsidRPr="00AE7442">
        <w:rPr>
          <w:rFonts w:ascii="Arial" w:hAnsi="Arial" w:cs="Arial"/>
          <w:color w:val="1A1A1A"/>
        </w:rPr>
        <w:t>…”).</w:t>
      </w:r>
    </w:p>
    <w:p w14:paraId="405314F4" w14:textId="77777777" w:rsidR="00BD1778" w:rsidRPr="00AE7442" w:rsidRDefault="00BD1778" w:rsidP="00BD1778">
      <w:pPr>
        <w:widowControl w:val="0"/>
        <w:autoSpaceDE w:val="0"/>
        <w:autoSpaceDN w:val="0"/>
        <w:adjustRightInd w:val="0"/>
        <w:jc w:val="both"/>
        <w:rPr>
          <w:rFonts w:ascii="Arial" w:hAnsi="Arial" w:cs="Arial"/>
          <w:color w:val="1A1A1A"/>
        </w:rPr>
      </w:pPr>
    </w:p>
    <w:p w14:paraId="4E57A018" w14:textId="77777777" w:rsidR="00BD1778" w:rsidRPr="00AE7442" w:rsidRDefault="00BD1778" w:rsidP="00BD1778">
      <w:pPr>
        <w:widowControl w:val="0"/>
        <w:autoSpaceDE w:val="0"/>
        <w:autoSpaceDN w:val="0"/>
        <w:adjustRightInd w:val="0"/>
        <w:jc w:val="both"/>
        <w:rPr>
          <w:rFonts w:ascii="Arial" w:hAnsi="Arial" w:cs="Arial"/>
          <w:color w:val="1A1A1A"/>
        </w:rPr>
      </w:pPr>
    </w:p>
    <w:p w14:paraId="12A58F30" w14:textId="77777777" w:rsidR="00BD1778" w:rsidRPr="00AE7442" w:rsidRDefault="00BD1778" w:rsidP="00BD1778">
      <w:pPr>
        <w:widowControl w:val="0"/>
        <w:autoSpaceDE w:val="0"/>
        <w:autoSpaceDN w:val="0"/>
        <w:adjustRightInd w:val="0"/>
        <w:rPr>
          <w:rFonts w:ascii="Arial" w:hAnsi="Arial" w:cs="Arial"/>
          <w:color w:val="1A1A1A"/>
        </w:rPr>
      </w:pPr>
      <w:r w:rsidRPr="00AE7442">
        <w:rPr>
          <w:rFonts w:ascii="Arial" w:hAnsi="Arial" w:cs="Arial"/>
          <w:b/>
          <w:bCs/>
          <w:color w:val="1A1A1A"/>
        </w:rPr>
        <w:t>Lectura de la segunda carta de san Pablo a los cristianos de Tesalónica</w:t>
      </w:r>
      <w:r w:rsidRPr="00AE7442">
        <w:rPr>
          <w:rFonts w:ascii="Arial" w:hAnsi="Arial" w:cs="Arial"/>
          <w:color w:val="1A1A1A"/>
        </w:rPr>
        <w:t xml:space="preserve">     3, 6-12</w:t>
      </w:r>
    </w:p>
    <w:p w14:paraId="7472EF70" w14:textId="77777777" w:rsidR="00BD1778" w:rsidRPr="00AE7442" w:rsidRDefault="00BD1778" w:rsidP="00BD1778">
      <w:pPr>
        <w:widowControl w:val="0"/>
        <w:autoSpaceDE w:val="0"/>
        <w:autoSpaceDN w:val="0"/>
        <w:adjustRightInd w:val="0"/>
        <w:rPr>
          <w:rFonts w:ascii="Arial" w:hAnsi="Arial" w:cs="Arial"/>
          <w:color w:val="1A1A1A"/>
        </w:rPr>
      </w:pPr>
    </w:p>
    <w:p w14:paraId="78589511" w14:textId="77777777" w:rsidR="00BD1778" w:rsidRPr="00AE7442" w:rsidRDefault="00BD1778" w:rsidP="00BD1778">
      <w:pPr>
        <w:widowControl w:val="0"/>
        <w:autoSpaceDE w:val="0"/>
        <w:autoSpaceDN w:val="0"/>
        <w:adjustRightInd w:val="0"/>
        <w:rPr>
          <w:rFonts w:ascii="Arial" w:hAnsi="Arial" w:cs="Arial"/>
          <w:color w:val="1A1A1A"/>
        </w:rPr>
      </w:pPr>
      <w:r w:rsidRPr="00AE7442">
        <w:rPr>
          <w:rFonts w:ascii="Arial" w:hAnsi="Arial" w:cs="Arial"/>
          <w:i/>
          <w:iCs/>
          <w:color w:val="1A1A1A"/>
        </w:rPr>
        <w:t xml:space="preserve">Resumen: En la comunidad de Tesalónica hay quienes viven de un modo claramente opuesto al ejemplo dado por Pablo cuando estuvo entre ellos. Mientras Pablo trabajó con sus manos para dar ejemplo, algunos no solamente no </w:t>
      </w:r>
      <w:proofErr w:type="gramStart"/>
      <w:r w:rsidRPr="00AE7442">
        <w:rPr>
          <w:rFonts w:ascii="Arial" w:hAnsi="Arial" w:cs="Arial"/>
          <w:i/>
          <w:iCs/>
          <w:color w:val="1A1A1A"/>
        </w:rPr>
        <w:t>trabajan</w:t>
      </w:r>
      <w:proofErr w:type="gramEnd"/>
      <w:r w:rsidRPr="00AE7442">
        <w:rPr>
          <w:rFonts w:ascii="Arial" w:hAnsi="Arial" w:cs="Arial"/>
          <w:i/>
          <w:iCs/>
          <w:color w:val="1A1A1A"/>
        </w:rPr>
        <w:t xml:space="preserve"> sino que “se entrometen en todo”. De allí que “Pablo” reitere el mandato de que deben trabajar pacíficamente para ganarse el pan.</w:t>
      </w:r>
    </w:p>
    <w:p w14:paraId="795BB744" w14:textId="77777777" w:rsidR="00BD1778" w:rsidRPr="00AE7442" w:rsidRDefault="00BD1778" w:rsidP="00BD1778">
      <w:pPr>
        <w:widowControl w:val="0"/>
        <w:autoSpaceDE w:val="0"/>
        <w:autoSpaceDN w:val="0"/>
        <w:adjustRightInd w:val="0"/>
        <w:rPr>
          <w:rFonts w:ascii="Arial" w:hAnsi="Arial" w:cs="Arial"/>
          <w:color w:val="1A1A1A"/>
        </w:rPr>
      </w:pPr>
    </w:p>
    <w:p w14:paraId="4E92A2EA" w14:textId="77777777" w:rsidR="00BD1778" w:rsidRPr="00AE7442" w:rsidRDefault="00BD1778" w:rsidP="00BD1778">
      <w:pPr>
        <w:widowControl w:val="0"/>
        <w:autoSpaceDE w:val="0"/>
        <w:autoSpaceDN w:val="0"/>
        <w:adjustRightInd w:val="0"/>
        <w:rPr>
          <w:rFonts w:ascii="Arial" w:hAnsi="Arial" w:cs="Arial"/>
          <w:color w:val="1A1A1A"/>
        </w:rPr>
      </w:pPr>
      <w:r w:rsidRPr="00AE7442">
        <w:rPr>
          <w:rFonts w:ascii="Arial" w:hAnsi="Arial" w:cs="Arial"/>
          <w:color w:val="1A1A1A"/>
        </w:rPr>
        <w:t xml:space="preserve">Con mucha influencia de 1 Tesalonicenses (v.7 y 1 </w:t>
      </w:r>
      <w:proofErr w:type="spellStart"/>
      <w:r w:rsidRPr="00AE7442">
        <w:rPr>
          <w:rFonts w:ascii="Arial" w:hAnsi="Arial" w:cs="Arial"/>
          <w:color w:val="1A1A1A"/>
        </w:rPr>
        <w:t>Tes</w:t>
      </w:r>
      <w:proofErr w:type="spellEnd"/>
      <w:r w:rsidRPr="00AE7442">
        <w:rPr>
          <w:rFonts w:ascii="Arial" w:hAnsi="Arial" w:cs="Arial"/>
          <w:color w:val="1A1A1A"/>
        </w:rPr>
        <w:t xml:space="preserve"> 2,1; v.10 y 1 </w:t>
      </w:r>
      <w:proofErr w:type="spellStart"/>
      <w:r w:rsidRPr="00AE7442">
        <w:rPr>
          <w:rFonts w:ascii="Arial" w:hAnsi="Arial" w:cs="Arial"/>
          <w:color w:val="1A1A1A"/>
        </w:rPr>
        <w:t>Tes</w:t>
      </w:r>
      <w:proofErr w:type="spellEnd"/>
      <w:r w:rsidRPr="00AE7442">
        <w:rPr>
          <w:rFonts w:ascii="Arial" w:hAnsi="Arial" w:cs="Arial"/>
          <w:color w:val="1A1A1A"/>
        </w:rPr>
        <w:t xml:space="preserve"> 3,4; v.8 y 1 </w:t>
      </w:r>
      <w:proofErr w:type="spellStart"/>
      <w:r w:rsidRPr="00AE7442">
        <w:rPr>
          <w:rFonts w:ascii="Arial" w:hAnsi="Arial" w:cs="Arial"/>
          <w:color w:val="1A1A1A"/>
        </w:rPr>
        <w:t>Tes</w:t>
      </w:r>
      <w:proofErr w:type="spellEnd"/>
      <w:r w:rsidRPr="00AE7442">
        <w:rPr>
          <w:rFonts w:ascii="Arial" w:hAnsi="Arial" w:cs="Arial"/>
          <w:color w:val="1A1A1A"/>
        </w:rPr>
        <w:t xml:space="preserve"> 2,9), pero también elementos que le son propios, el autor de 2 Tesalonicenses comienza su despedida. Con un “</w:t>
      </w:r>
      <w:r w:rsidRPr="00AE7442">
        <w:rPr>
          <w:rFonts w:ascii="Arial" w:hAnsi="Arial" w:cs="Arial"/>
          <w:i/>
          <w:iCs/>
          <w:color w:val="1A1A1A"/>
        </w:rPr>
        <w:t>hermanos</w:t>
      </w:r>
      <w:r w:rsidRPr="00AE7442">
        <w:rPr>
          <w:rFonts w:ascii="Arial" w:hAnsi="Arial" w:cs="Arial"/>
          <w:color w:val="1A1A1A"/>
        </w:rPr>
        <w:t>” comienza la unidad, en v.13 volvemos a encontrar “</w:t>
      </w:r>
      <w:r w:rsidRPr="00AE7442">
        <w:rPr>
          <w:rFonts w:ascii="Arial" w:hAnsi="Arial" w:cs="Arial"/>
          <w:i/>
          <w:iCs/>
          <w:color w:val="1A1A1A"/>
        </w:rPr>
        <w:t>hermanos</w:t>
      </w:r>
      <w:r w:rsidRPr="00AE7442">
        <w:rPr>
          <w:rFonts w:ascii="Arial" w:hAnsi="Arial" w:cs="Arial"/>
          <w:color w:val="1A1A1A"/>
        </w:rPr>
        <w:t>” lo que es indicio de un nuevo comienzo, por lo que la unidad literaria puede encontrarse en 3,6-12. La unidad está estructurada en torno a tres temas diferentes. La unidad comienza con un mandato (</w:t>
      </w:r>
      <w:proofErr w:type="spellStart"/>
      <w:r w:rsidRPr="00AE7442">
        <w:rPr>
          <w:rFonts w:ascii="Arial" w:hAnsi="Arial" w:cs="Arial"/>
          <w:i/>
          <w:iCs/>
          <w:color w:val="1A1A1A"/>
        </w:rPr>
        <w:t>paraggelô</w:t>
      </w:r>
      <w:proofErr w:type="spellEnd"/>
      <w:r w:rsidRPr="00AE7442">
        <w:rPr>
          <w:rFonts w:ascii="Arial" w:hAnsi="Arial" w:cs="Arial"/>
          <w:color w:val="1A1A1A"/>
        </w:rPr>
        <w:t>) en el nombre del Señor Jesucristo y finaliza del mismo modo: “mandamos (</w:t>
      </w:r>
      <w:proofErr w:type="spellStart"/>
      <w:r w:rsidRPr="00AE7442">
        <w:rPr>
          <w:rFonts w:ascii="Arial" w:hAnsi="Arial" w:cs="Arial"/>
          <w:i/>
          <w:iCs/>
          <w:color w:val="1A1A1A"/>
        </w:rPr>
        <w:t>paraggelô</w:t>
      </w:r>
      <w:proofErr w:type="spellEnd"/>
      <w:r w:rsidRPr="00AE7442">
        <w:rPr>
          <w:rFonts w:ascii="Arial" w:hAnsi="Arial" w:cs="Arial"/>
          <w:color w:val="1A1A1A"/>
        </w:rPr>
        <w:t>) y exhortamos en el Señor Jesucristo” (v.12).</w:t>
      </w:r>
    </w:p>
    <w:p w14:paraId="6A80C48B" w14:textId="77777777" w:rsidR="00BD1778" w:rsidRPr="00AE7442" w:rsidRDefault="00BD1778" w:rsidP="00BD1778">
      <w:pPr>
        <w:widowControl w:val="0"/>
        <w:autoSpaceDE w:val="0"/>
        <w:autoSpaceDN w:val="0"/>
        <w:adjustRightInd w:val="0"/>
        <w:rPr>
          <w:rFonts w:ascii="Arial" w:hAnsi="Arial" w:cs="Arial"/>
          <w:color w:val="1A1A1A"/>
        </w:rPr>
      </w:pPr>
    </w:p>
    <w:p w14:paraId="69010B05" w14:textId="77777777" w:rsidR="00BD1778" w:rsidRPr="00AE7442" w:rsidRDefault="00BD1778" w:rsidP="00BD1778">
      <w:pPr>
        <w:widowControl w:val="0"/>
        <w:autoSpaceDE w:val="0"/>
        <w:autoSpaceDN w:val="0"/>
        <w:adjustRightInd w:val="0"/>
        <w:jc w:val="both"/>
        <w:rPr>
          <w:rFonts w:ascii="Arial" w:hAnsi="Arial" w:cs="Arial"/>
          <w:color w:val="1A1A1A"/>
        </w:rPr>
      </w:pPr>
      <w:r w:rsidRPr="00AE7442">
        <w:rPr>
          <w:rFonts w:ascii="Arial" w:hAnsi="Arial" w:cs="Arial"/>
          <w:color w:val="1A1A1A"/>
        </w:rPr>
        <w:t> Es interesante notar cómo está armada esta unidad:</w:t>
      </w:r>
    </w:p>
    <w:p w14:paraId="6810A8B0" w14:textId="77777777" w:rsidR="00BD1778" w:rsidRPr="00AE7442" w:rsidRDefault="00BD1778" w:rsidP="00BD1778">
      <w:pPr>
        <w:widowControl w:val="0"/>
        <w:autoSpaceDE w:val="0"/>
        <w:autoSpaceDN w:val="0"/>
        <w:adjustRightInd w:val="0"/>
        <w:rPr>
          <w:rFonts w:ascii="Arial" w:hAnsi="Arial" w:cs="Arial"/>
          <w:color w:val="1A1A1A"/>
        </w:rPr>
      </w:pPr>
      <w:r w:rsidRPr="00AE7442">
        <w:rPr>
          <w:rFonts w:ascii="Arial" w:hAnsi="Arial" w:cs="Arial"/>
          <w:i/>
          <w:iCs/>
          <w:color w:val="1A1A1A"/>
        </w:rPr>
        <w:t>“Hermanos:</w:t>
      </w:r>
    </w:p>
    <w:p w14:paraId="62245B07" w14:textId="77777777" w:rsidR="00BD1778" w:rsidRPr="00AE7442" w:rsidRDefault="00BD1778" w:rsidP="00BD1778">
      <w:pPr>
        <w:widowControl w:val="0"/>
        <w:autoSpaceDE w:val="0"/>
        <w:autoSpaceDN w:val="0"/>
        <w:adjustRightInd w:val="0"/>
        <w:rPr>
          <w:rFonts w:ascii="Arial" w:hAnsi="Arial" w:cs="Arial"/>
          <w:color w:val="1A1A1A"/>
        </w:rPr>
      </w:pPr>
      <w:r w:rsidRPr="00AE7442">
        <w:rPr>
          <w:rFonts w:ascii="Arial" w:hAnsi="Arial" w:cs="Arial"/>
          <w:i/>
          <w:iCs/>
          <w:color w:val="1A1A1A"/>
        </w:rPr>
        <w:t>[A] Les mandamos en … Señor Jesús Cristo (v.6)</w:t>
      </w:r>
    </w:p>
    <w:p w14:paraId="27C4F562" w14:textId="77777777" w:rsidR="00BD1778" w:rsidRPr="00AE7442" w:rsidRDefault="00BD1778" w:rsidP="00BD1778">
      <w:pPr>
        <w:widowControl w:val="0"/>
        <w:autoSpaceDE w:val="0"/>
        <w:autoSpaceDN w:val="0"/>
        <w:adjustRightInd w:val="0"/>
        <w:rPr>
          <w:rFonts w:ascii="Arial" w:hAnsi="Arial" w:cs="Arial"/>
          <w:color w:val="1A1A1A"/>
        </w:rPr>
      </w:pPr>
      <w:r w:rsidRPr="00AE7442">
        <w:rPr>
          <w:rFonts w:ascii="Arial" w:hAnsi="Arial" w:cs="Arial"/>
          <w:i/>
          <w:iCs/>
          <w:color w:val="1A1A1A"/>
        </w:rPr>
        <w:t>[B] Desordenada conducta (v.6)</w:t>
      </w:r>
    </w:p>
    <w:p w14:paraId="4A068246" w14:textId="77777777" w:rsidR="00BD1778" w:rsidRPr="00AE7442" w:rsidRDefault="00BD1778" w:rsidP="00BD1778">
      <w:pPr>
        <w:widowControl w:val="0"/>
        <w:autoSpaceDE w:val="0"/>
        <w:autoSpaceDN w:val="0"/>
        <w:adjustRightInd w:val="0"/>
        <w:rPr>
          <w:rFonts w:ascii="Arial" w:hAnsi="Arial" w:cs="Arial"/>
          <w:color w:val="1A1A1A"/>
        </w:rPr>
      </w:pPr>
    </w:p>
    <w:p w14:paraId="76C090D1" w14:textId="77777777" w:rsidR="00BD1778" w:rsidRPr="00AE7442" w:rsidRDefault="00BD1778" w:rsidP="00BD1778">
      <w:pPr>
        <w:widowControl w:val="0"/>
        <w:autoSpaceDE w:val="0"/>
        <w:autoSpaceDN w:val="0"/>
        <w:adjustRightInd w:val="0"/>
        <w:rPr>
          <w:rFonts w:ascii="Arial" w:hAnsi="Arial" w:cs="Arial"/>
          <w:color w:val="1A1A1A"/>
        </w:rPr>
      </w:pPr>
      <w:r w:rsidRPr="00AE7442">
        <w:rPr>
          <w:rFonts w:ascii="Arial" w:hAnsi="Arial" w:cs="Arial"/>
          <w:i/>
          <w:iCs/>
          <w:color w:val="1A1A1A"/>
        </w:rPr>
        <w:t>[c] Imitarnos (v.7)</w:t>
      </w:r>
    </w:p>
    <w:p w14:paraId="54809683" w14:textId="77777777" w:rsidR="00BD1778" w:rsidRPr="00AE7442" w:rsidRDefault="00BD1778" w:rsidP="00BD1778">
      <w:pPr>
        <w:widowControl w:val="0"/>
        <w:autoSpaceDE w:val="0"/>
        <w:autoSpaceDN w:val="0"/>
        <w:adjustRightInd w:val="0"/>
        <w:rPr>
          <w:rFonts w:ascii="Arial" w:hAnsi="Arial" w:cs="Arial"/>
          <w:color w:val="1A1A1A"/>
        </w:rPr>
      </w:pPr>
      <w:r w:rsidRPr="00AE7442">
        <w:rPr>
          <w:rFonts w:ascii="Arial" w:hAnsi="Arial" w:cs="Arial"/>
          <w:i/>
          <w:iCs/>
          <w:color w:val="1A1A1A"/>
        </w:rPr>
        <w:t>comer el pan…  trabajo (v.8)</w:t>
      </w:r>
    </w:p>
    <w:p w14:paraId="641B11B4" w14:textId="77777777" w:rsidR="00BD1778" w:rsidRPr="00AE7442" w:rsidRDefault="00BD1778" w:rsidP="00BD1778">
      <w:pPr>
        <w:widowControl w:val="0"/>
        <w:autoSpaceDE w:val="0"/>
        <w:autoSpaceDN w:val="0"/>
        <w:adjustRightInd w:val="0"/>
        <w:rPr>
          <w:rFonts w:ascii="Arial" w:hAnsi="Arial" w:cs="Arial"/>
          <w:color w:val="1A1A1A"/>
        </w:rPr>
      </w:pPr>
      <w:r w:rsidRPr="00AE7442">
        <w:rPr>
          <w:rFonts w:ascii="Arial" w:hAnsi="Arial" w:cs="Arial"/>
          <w:i/>
          <w:iCs/>
          <w:color w:val="1A1A1A"/>
        </w:rPr>
        <w:t>[c’] Imitar (v.9)</w:t>
      </w:r>
    </w:p>
    <w:p w14:paraId="7D8318BA" w14:textId="77777777" w:rsidR="00BD1778" w:rsidRPr="00AE7442" w:rsidRDefault="00BD1778" w:rsidP="00BD1778">
      <w:pPr>
        <w:widowControl w:val="0"/>
        <w:autoSpaceDE w:val="0"/>
        <w:autoSpaceDN w:val="0"/>
        <w:adjustRightInd w:val="0"/>
        <w:rPr>
          <w:rFonts w:ascii="Arial" w:hAnsi="Arial" w:cs="Arial"/>
          <w:color w:val="1A1A1A"/>
        </w:rPr>
      </w:pPr>
      <w:r w:rsidRPr="00AE7442">
        <w:rPr>
          <w:rFonts w:ascii="Arial" w:hAnsi="Arial" w:cs="Arial"/>
          <w:i/>
          <w:iCs/>
          <w:color w:val="1A1A1A"/>
        </w:rPr>
        <w:t>Mandábamos (v.10)</w:t>
      </w:r>
    </w:p>
    <w:p w14:paraId="29589ED1" w14:textId="77777777" w:rsidR="00BD1778" w:rsidRPr="00AE7442" w:rsidRDefault="00BD1778" w:rsidP="00BD1778">
      <w:pPr>
        <w:widowControl w:val="0"/>
        <w:autoSpaceDE w:val="0"/>
        <w:autoSpaceDN w:val="0"/>
        <w:adjustRightInd w:val="0"/>
        <w:rPr>
          <w:rFonts w:ascii="Arial" w:hAnsi="Arial" w:cs="Arial"/>
          <w:color w:val="1A1A1A"/>
        </w:rPr>
      </w:pPr>
      <w:r w:rsidRPr="00AE7442">
        <w:rPr>
          <w:rFonts w:ascii="Arial" w:hAnsi="Arial" w:cs="Arial"/>
          <w:i/>
          <w:iCs/>
          <w:color w:val="1A1A1A"/>
        </w:rPr>
        <w:t>[d] Trabajar … comer (v.10)</w:t>
      </w:r>
    </w:p>
    <w:p w14:paraId="47D18C85" w14:textId="77777777" w:rsidR="00BD1778" w:rsidRPr="00AE7442" w:rsidRDefault="00BD1778" w:rsidP="00BD1778">
      <w:pPr>
        <w:widowControl w:val="0"/>
        <w:autoSpaceDE w:val="0"/>
        <w:autoSpaceDN w:val="0"/>
        <w:adjustRightInd w:val="0"/>
        <w:rPr>
          <w:rFonts w:ascii="Arial" w:hAnsi="Arial" w:cs="Arial"/>
          <w:color w:val="1A1A1A"/>
        </w:rPr>
      </w:pPr>
      <w:r w:rsidRPr="00AE7442">
        <w:rPr>
          <w:rFonts w:ascii="Arial" w:hAnsi="Arial" w:cs="Arial"/>
          <w:i/>
          <w:iCs/>
          <w:color w:val="1A1A1A"/>
        </w:rPr>
        <w:t>[B’] Conducta desordenada (v.11)</w:t>
      </w:r>
    </w:p>
    <w:p w14:paraId="4D08A6ED" w14:textId="77777777" w:rsidR="00BD1778" w:rsidRPr="00AE7442" w:rsidRDefault="00BD1778" w:rsidP="00BD1778">
      <w:pPr>
        <w:widowControl w:val="0"/>
        <w:autoSpaceDE w:val="0"/>
        <w:autoSpaceDN w:val="0"/>
        <w:adjustRightInd w:val="0"/>
        <w:rPr>
          <w:rFonts w:ascii="Arial" w:hAnsi="Arial" w:cs="Arial"/>
          <w:color w:val="1A1A1A"/>
        </w:rPr>
      </w:pPr>
      <w:r w:rsidRPr="00AE7442">
        <w:rPr>
          <w:rFonts w:ascii="Arial" w:hAnsi="Arial" w:cs="Arial"/>
          <w:i/>
          <w:iCs/>
          <w:color w:val="1A1A1A"/>
        </w:rPr>
        <w:t>[A’] Mandamos … en Señor Jesús Cristo (v.12)</w:t>
      </w:r>
    </w:p>
    <w:p w14:paraId="5FF8BF6B" w14:textId="77777777" w:rsidR="00BD1778" w:rsidRPr="00AE7442" w:rsidRDefault="00BD1778" w:rsidP="00BD1778">
      <w:pPr>
        <w:widowControl w:val="0"/>
        <w:autoSpaceDE w:val="0"/>
        <w:autoSpaceDN w:val="0"/>
        <w:adjustRightInd w:val="0"/>
        <w:rPr>
          <w:rFonts w:ascii="Arial" w:hAnsi="Arial" w:cs="Arial"/>
          <w:color w:val="1A1A1A"/>
        </w:rPr>
      </w:pPr>
      <w:r w:rsidRPr="00AE7442">
        <w:rPr>
          <w:rFonts w:ascii="Arial" w:hAnsi="Arial" w:cs="Arial"/>
          <w:i/>
          <w:iCs/>
          <w:color w:val="1A1A1A"/>
        </w:rPr>
        <w:t>[d’] Trabajar … comer (v.12)</w:t>
      </w:r>
    </w:p>
    <w:p w14:paraId="64D4463C" w14:textId="77777777" w:rsidR="00BD1778" w:rsidRPr="00AE7442" w:rsidRDefault="00BD1778" w:rsidP="00BD1778">
      <w:pPr>
        <w:widowControl w:val="0"/>
        <w:autoSpaceDE w:val="0"/>
        <w:autoSpaceDN w:val="0"/>
        <w:adjustRightInd w:val="0"/>
        <w:rPr>
          <w:rFonts w:ascii="Arial" w:hAnsi="Arial" w:cs="Arial"/>
          <w:color w:val="1A1A1A"/>
        </w:rPr>
      </w:pPr>
    </w:p>
    <w:p w14:paraId="3E9747E2" w14:textId="77777777" w:rsidR="00BD1778" w:rsidRPr="00AE7442" w:rsidRDefault="00BD1778" w:rsidP="00BD1778">
      <w:pPr>
        <w:widowControl w:val="0"/>
        <w:autoSpaceDE w:val="0"/>
        <w:autoSpaceDN w:val="0"/>
        <w:adjustRightInd w:val="0"/>
        <w:jc w:val="both"/>
        <w:rPr>
          <w:rFonts w:ascii="Arial" w:hAnsi="Arial" w:cs="Arial"/>
          <w:color w:val="1A1A1A"/>
        </w:rPr>
      </w:pPr>
      <w:r w:rsidRPr="00AE7442">
        <w:rPr>
          <w:rFonts w:ascii="Arial" w:hAnsi="Arial" w:cs="Arial"/>
          <w:color w:val="1A1A1A"/>
        </w:rPr>
        <w:t>La unidad literaria, entonces, se muestra integrada, y tiene dos partes claras, la primera en la que “Pablo” invita a imitar su ejemplo de trabajar, la segunda en la que critica a quienes viven sin seguir su testimonio de trabajo.</w:t>
      </w:r>
    </w:p>
    <w:p w14:paraId="4CAD8C02" w14:textId="77777777" w:rsidR="00BD1778" w:rsidRPr="00AE7442" w:rsidRDefault="00BD1778" w:rsidP="00BD1778">
      <w:pPr>
        <w:widowControl w:val="0"/>
        <w:autoSpaceDE w:val="0"/>
        <w:autoSpaceDN w:val="0"/>
        <w:adjustRightInd w:val="0"/>
        <w:jc w:val="both"/>
        <w:rPr>
          <w:rFonts w:ascii="Arial" w:hAnsi="Arial" w:cs="Arial"/>
          <w:color w:val="1A1A1A"/>
        </w:rPr>
      </w:pPr>
    </w:p>
    <w:p w14:paraId="38E0F993" w14:textId="77777777" w:rsidR="00BD1778" w:rsidRPr="00AE7442" w:rsidRDefault="00BD1778" w:rsidP="00BD1778">
      <w:pPr>
        <w:widowControl w:val="0"/>
        <w:autoSpaceDE w:val="0"/>
        <w:autoSpaceDN w:val="0"/>
        <w:adjustRightInd w:val="0"/>
        <w:jc w:val="both"/>
        <w:rPr>
          <w:rFonts w:ascii="Arial" w:hAnsi="Arial" w:cs="Arial"/>
          <w:color w:val="1A1A1A"/>
        </w:rPr>
      </w:pPr>
      <w:r w:rsidRPr="00AE7442">
        <w:rPr>
          <w:rFonts w:ascii="Arial" w:hAnsi="Arial" w:cs="Arial"/>
          <w:color w:val="1A1A1A"/>
        </w:rPr>
        <w:t>Esta unidad es presentada como una “tradición” que “recibieron”. Ambos verbos (</w:t>
      </w:r>
      <w:proofErr w:type="spellStart"/>
      <w:r w:rsidRPr="00AE7442">
        <w:rPr>
          <w:rFonts w:ascii="Arial" w:hAnsi="Arial" w:cs="Arial"/>
          <w:i/>
          <w:iCs/>
          <w:color w:val="1A1A1A"/>
        </w:rPr>
        <w:t>parádosis</w:t>
      </w:r>
      <w:proofErr w:type="spellEnd"/>
      <w:r w:rsidRPr="00AE7442">
        <w:rPr>
          <w:rFonts w:ascii="Arial" w:hAnsi="Arial" w:cs="Arial"/>
          <w:color w:val="1A1A1A"/>
        </w:rPr>
        <w:t xml:space="preserve"> – </w:t>
      </w:r>
      <w:proofErr w:type="spellStart"/>
      <w:r w:rsidRPr="00AE7442">
        <w:rPr>
          <w:rFonts w:ascii="Arial" w:hAnsi="Arial" w:cs="Arial"/>
          <w:i/>
          <w:iCs/>
          <w:color w:val="1A1A1A"/>
        </w:rPr>
        <w:t>parélabon</w:t>
      </w:r>
      <w:proofErr w:type="spellEnd"/>
      <w:r w:rsidRPr="00AE7442">
        <w:rPr>
          <w:rFonts w:ascii="Arial" w:hAnsi="Arial" w:cs="Arial"/>
          <w:color w:val="1A1A1A"/>
        </w:rPr>
        <w:t xml:space="preserve">) son tradicionales en referencia a la catequesis, sin </w:t>
      </w:r>
      <w:proofErr w:type="gramStart"/>
      <w:r w:rsidRPr="00AE7442">
        <w:rPr>
          <w:rFonts w:ascii="Arial" w:hAnsi="Arial" w:cs="Arial"/>
          <w:color w:val="1A1A1A"/>
        </w:rPr>
        <w:t>embargo</w:t>
      </w:r>
      <w:proofErr w:type="gramEnd"/>
      <w:r w:rsidRPr="00AE7442">
        <w:rPr>
          <w:rFonts w:ascii="Arial" w:hAnsi="Arial" w:cs="Arial"/>
          <w:color w:val="1A1A1A"/>
        </w:rPr>
        <w:t xml:space="preserve"> en esta carta aluden a una suerte de “ejemplo” que Pablo ha dado (2,15; cf. 1 </w:t>
      </w:r>
      <w:proofErr w:type="spellStart"/>
      <w:r w:rsidRPr="00AE7442">
        <w:rPr>
          <w:rFonts w:ascii="Arial" w:hAnsi="Arial" w:cs="Arial"/>
          <w:color w:val="1A1A1A"/>
        </w:rPr>
        <w:t>Cor</w:t>
      </w:r>
      <w:proofErr w:type="spellEnd"/>
      <w:r w:rsidRPr="00AE7442">
        <w:rPr>
          <w:rFonts w:ascii="Arial" w:hAnsi="Arial" w:cs="Arial"/>
          <w:color w:val="1A1A1A"/>
        </w:rPr>
        <w:t xml:space="preserve"> 15,1.3). En este caso no se refiere a un aspecto teórico sino a que Pablo trabajó con sus manos en la comunidad para “</w:t>
      </w:r>
      <w:r w:rsidRPr="00AE7442">
        <w:rPr>
          <w:rFonts w:ascii="Arial" w:hAnsi="Arial" w:cs="Arial"/>
          <w:i/>
          <w:iCs/>
          <w:color w:val="1A1A1A"/>
        </w:rPr>
        <w:t>no ser una carga</w:t>
      </w:r>
      <w:r w:rsidRPr="00AE7442">
        <w:rPr>
          <w:rFonts w:ascii="Arial" w:hAnsi="Arial" w:cs="Arial"/>
          <w:color w:val="1A1A1A"/>
        </w:rPr>
        <w:t>”, y esto “</w:t>
      </w:r>
      <w:r w:rsidRPr="00AE7442">
        <w:rPr>
          <w:rFonts w:ascii="Arial" w:hAnsi="Arial" w:cs="Arial"/>
          <w:i/>
          <w:iCs/>
          <w:color w:val="1A1A1A"/>
        </w:rPr>
        <w:t>para darles un ejemplo</w:t>
      </w:r>
      <w:r w:rsidRPr="00AE7442">
        <w:rPr>
          <w:rFonts w:ascii="Arial" w:hAnsi="Arial" w:cs="Arial"/>
          <w:color w:val="1A1A1A"/>
        </w:rPr>
        <w:t xml:space="preserve">” (ver 1 </w:t>
      </w:r>
      <w:proofErr w:type="spellStart"/>
      <w:r w:rsidRPr="00AE7442">
        <w:rPr>
          <w:rFonts w:ascii="Arial" w:hAnsi="Arial" w:cs="Arial"/>
          <w:color w:val="1A1A1A"/>
        </w:rPr>
        <w:t>Tes</w:t>
      </w:r>
      <w:proofErr w:type="spellEnd"/>
      <w:r w:rsidRPr="00AE7442">
        <w:rPr>
          <w:rFonts w:ascii="Arial" w:hAnsi="Arial" w:cs="Arial"/>
          <w:color w:val="1A1A1A"/>
        </w:rPr>
        <w:t xml:space="preserve"> 2,9). En ese contexto Pablo había dicho “</w:t>
      </w:r>
      <w:r w:rsidRPr="00AE7442">
        <w:rPr>
          <w:rFonts w:ascii="Arial" w:hAnsi="Arial" w:cs="Arial"/>
          <w:i/>
          <w:iCs/>
          <w:color w:val="1A1A1A"/>
        </w:rPr>
        <w:t>el que no quiere trabajar, que no coma</w:t>
      </w:r>
      <w:r w:rsidRPr="00AE7442">
        <w:rPr>
          <w:rFonts w:ascii="Arial" w:hAnsi="Arial" w:cs="Arial"/>
          <w:color w:val="1A1A1A"/>
        </w:rPr>
        <w:t>” (v.10). Esto está dicho ya que algunos en la comunidad llevan una conducta desordenada, que –en este caso concreto- es no trabajar nada y meterse en todo. En griego es un juego de palabras imposible de traducir al castellano: “</w:t>
      </w:r>
      <w:proofErr w:type="spellStart"/>
      <w:r w:rsidRPr="00AE7442">
        <w:rPr>
          <w:rFonts w:ascii="Arial" w:hAnsi="Arial" w:cs="Arial"/>
          <w:i/>
          <w:iCs/>
          <w:color w:val="1A1A1A"/>
        </w:rPr>
        <w:t>mêdèn</w:t>
      </w:r>
      <w:proofErr w:type="spellEnd"/>
      <w:r w:rsidRPr="00AE7442">
        <w:rPr>
          <w:rFonts w:ascii="Arial" w:hAnsi="Arial" w:cs="Arial"/>
          <w:i/>
          <w:iCs/>
          <w:color w:val="1A1A1A"/>
        </w:rPr>
        <w:t xml:space="preserve"> </w:t>
      </w:r>
      <w:proofErr w:type="spellStart"/>
      <w:r w:rsidRPr="00AE7442">
        <w:rPr>
          <w:rFonts w:ascii="Arial" w:hAnsi="Arial" w:cs="Arial"/>
          <w:i/>
          <w:iCs/>
          <w:color w:val="1A1A1A"/>
        </w:rPr>
        <w:t>ergazoménous</w:t>
      </w:r>
      <w:proofErr w:type="spellEnd"/>
      <w:r w:rsidRPr="00AE7442">
        <w:rPr>
          <w:rFonts w:ascii="Arial" w:hAnsi="Arial" w:cs="Arial"/>
          <w:i/>
          <w:iCs/>
          <w:color w:val="1A1A1A"/>
        </w:rPr>
        <w:t xml:space="preserve"> </w:t>
      </w:r>
      <w:proofErr w:type="spellStart"/>
      <w:r w:rsidRPr="00AE7442">
        <w:rPr>
          <w:rFonts w:ascii="Arial" w:hAnsi="Arial" w:cs="Arial"/>
          <w:i/>
          <w:iCs/>
          <w:color w:val="1A1A1A"/>
        </w:rPr>
        <w:t>allà</w:t>
      </w:r>
      <w:proofErr w:type="spellEnd"/>
      <w:r w:rsidRPr="00AE7442">
        <w:rPr>
          <w:rFonts w:ascii="Arial" w:hAnsi="Arial" w:cs="Arial"/>
          <w:i/>
          <w:iCs/>
          <w:color w:val="1A1A1A"/>
        </w:rPr>
        <w:t xml:space="preserve"> </w:t>
      </w:r>
      <w:proofErr w:type="spellStart"/>
      <w:r w:rsidRPr="00AE7442">
        <w:rPr>
          <w:rFonts w:ascii="Arial" w:hAnsi="Arial" w:cs="Arial"/>
          <w:i/>
          <w:iCs/>
          <w:color w:val="1A1A1A"/>
        </w:rPr>
        <w:t>periergazoménous</w:t>
      </w:r>
      <w:proofErr w:type="spellEnd"/>
      <w:r w:rsidRPr="00AE7442">
        <w:rPr>
          <w:rFonts w:ascii="Arial" w:hAnsi="Arial" w:cs="Arial"/>
          <w:color w:val="1A1A1A"/>
        </w:rPr>
        <w:t>”. El encargo de “Pablo” es que trabajen tranquilamente. </w:t>
      </w:r>
    </w:p>
    <w:p w14:paraId="29D355DE" w14:textId="77777777" w:rsidR="00BD1778" w:rsidRPr="00AE7442" w:rsidRDefault="00BD1778" w:rsidP="00BD1778">
      <w:pPr>
        <w:widowControl w:val="0"/>
        <w:autoSpaceDE w:val="0"/>
        <w:autoSpaceDN w:val="0"/>
        <w:adjustRightInd w:val="0"/>
        <w:jc w:val="both"/>
        <w:rPr>
          <w:rFonts w:ascii="Arial" w:hAnsi="Arial" w:cs="Arial"/>
          <w:color w:val="1A1A1A"/>
        </w:rPr>
      </w:pPr>
    </w:p>
    <w:p w14:paraId="2B91FAD8" w14:textId="77777777" w:rsidR="00BD1778" w:rsidRPr="00AE7442" w:rsidRDefault="00BD1778" w:rsidP="00BD1778">
      <w:pPr>
        <w:widowControl w:val="0"/>
        <w:autoSpaceDE w:val="0"/>
        <w:autoSpaceDN w:val="0"/>
        <w:adjustRightInd w:val="0"/>
        <w:jc w:val="both"/>
        <w:rPr>
          <w:rFonts w:ascii="Arial" w:hAnsi="Arial" w:cs="Arial"/>
          <w:color w:val="1A1A1A"/>
        </w:rPr>
      </w:pPr>
      <w:r w:rsidRPr="00AE7442">
        <w:rPr>
          <w:rFonts w:ascii="Arial" w:hAnsi="Arial" w:cs="Arial"/>
          <w:color w:val="1A1A1A"/>
        </w:rPr>
        <w:t>Siendo el contexto de la carta la expectativa inminente de algunos en la venida de Jesús, es probable que estos tuvieran la actitud de no trabajar ya que el fin está cercano, de allí que “</w:t>
      </w:r>
      <w:r w:rsidRPr="00AE7442">
        <w:rPr>
          <w:rFonts w:ascii="Arial" w:hAnsi="Arial" w:cs="Arial"/>
          <w:i/>
          <w:iCs/>
          <w:color w:val="1A1A1A"/>
        </w:rPr>
        <w:t>se metan en todo</w:t>
      </w:r>
      <w:r w:rsidRPr="00AE7442">
        <w:rPr>
          <w:rFonts w:ascii="Arial" w:hAnsi="Arial" w:cs="Arial"/>
          <w:color w:val="1A1A1A"/>
        </w:rPr>
        <w:t xml:space="preserve">”, y la insistencia en </w:t>
      </w:r>
      <w:proofErr w:type="gramStart"/>
      <w:r w:rsidRPr="00AE7442">
        <w:rPr>
          <w:rFonts w:ascii="Arial" w:hAnsi="Arial" w:cs="Arial"/>
          <w:color w:val="1A1A1A"/>
        </w:rPr>
        <w:t>que</w:t>
      </w:r>
      <w:proofErr w:type="gramEnd"/>
      <w:r w:rsidRPr="00AE7442">
        <w:rPr>
          <w:rFonts w:ascii="Arial" w:hAnsi="Arial" w:cs="Arial"/>
          <w:color w:val="1A1A1A"/>
        </w:rPr>
        <w:t xml:space="preserve"> si no trabajan, pues que no coman. A esto califica de conducta (camino, </w:t>
      </w:r>
      <w:proofErr w:type="spellStart"/>
      <w:r w:rsidRPr="00AE7442">
        <w:rPr>
          <w:rFonts w:ascii="Arial" w:hAnsi="Arial" w:cs="Arial"/>
          <w:i/>
          <w:iCs/>
          <w:color w:val="1A1A1A"/>
        </w:rPr>
        <w:t>peripatôn</w:t>
      </w:r>
      <w:proofErr w:type="spellEnd"/>
      <w:r w:rsidRPr="00AE7442">
        <w:rPr>
          <w:rFonts w:ascii="Arial" w:hAnsi="Arial" w:cs="Arial"/>
          <w:color w:val="1A1A1A"/>
        </w:rPr>
        <w:t>) desordenada (</w:t>
      </w:r>
      <w:proofErr w:type="spellStart"/>
      <w:r w:rsidRPr="00AE7442">
        <w:rPr>
          <w:rFonts w:ascii="Arial" w:hAnsi="Arial" w:cs="Arial"/>
          <w:i/>
          <w:iCs/>
          <w:color w:val="1A1A1A"/>
        </w:rPr>
        <w:t>atáktos</w:t>
      </w:r>
      <w:proofErr w:type="spellEnd"/>
      <w:r w:rsidRPr="00AE7442">
        <w:rPr>
          <w:rFonts w:ascii="Arial" w:hAnsi="Arial" w:cs="Arial"/>
          <w:color w:val="1A1A1A"/>
        </w:rPr>
        <w:t xml:space="preserve">, 1 </w:t>
      </w:r>
      <w:proofErr w:type="spellStart"/>
      <w:r w:rsidRPr="00AE7442">
        <w:rPr>
          <w:rFonts w:ascii="Arial" w:hAnsi="Arial" w:cs="Arial"/>
          <w:color w:val="1A1A1A"/>
        </w:rPr>
        <w:t>Tes</w:t>
      </w:r>
      <w:proofErr w:type="spellEnd"/>
      <w:r w:rsidRPr="00AE7442">
        <w:rPr>
          <w:rFonts w:ascii="Arial" w:hAnsi="Arial" w:cs="Arial"/>
          <w:color w:val="1A1A1A"/>
        </w:rPr>
        <w:t xml:space="preserve"> 5,14 donde puede traducirse por indisciplinados). </w:t>
      </w:r>
    </w:p>
    <w:p w14:paraId="1A50F81A" w14:textId="77777777" w:rsidR="00BD1778" w:rsidRPr="00AE7442" w:rsidRDefault="00BD1778" w:rsidP="00BD1778">
      <w:pPr>
        <w:widowControl w:val="0"/>
        <w:autoSpaceDE w:val="0"/>
        <w:autoSpaceDN w:val="0"/>
        <w:adjustRightInd w:val="0"/>
        <w:jc w:val="both"/>
        <w:rPr>
          <w:rFonts w:ascii="Arial" w:hAnsi="Arial" w:cs="Arial"/>
          <w:color w:val="1A1A1A"/>
        </w:rPr>
      </w:pPr>
    </w:p>
    <w:p w14:paraId="2F4AC9CC" w14:textId="77777777" w:rsidR="00BD1778" w:rsidRPr="00AE7442" w:rsidRDefault="00BD1778" w:rsidP="00BD1778">
      <w:pPr>
        <w:widowControl w:val="0"/>
        <w:autoSpaceDE w:val="0"/>
        <w:autoSpaceDN w:val="0"/>
        <w:adjustRightInd w:val="0"/>
        <w:jc w:val="both"/>
        <w:rPr>
          <w:rFonts w:ascii="Arial" w:hAnsi="Arial" w:cs="Arial"/>
          <w:color w:val="1A1A1A"/>
        </w:rPr>
      </w:pPr>
      <w:r w:rsidRPr="00AE7442">
        <w:rPr>
          <w:rFonts w:ascii="Arial" w:hAnsi="Arial" w:cs="Arial"/>
          <w:color w:val="1A1A1A"/>
        </w:rPr>
        <w:t>Una nota sobre el trabajo: es sabido que en ambiente greco-romano el trabajo no es visto como una virtud. En realidad, las elites se dedican al “ocio” mientras que los que trabajan son sus esclavos y contratados. En ese sentido, el mundo judío es bien distinto y el trabajo es visto como algo que enaltece a la persona. Sabemos que Jesús trabajaba, Pedro trabajaba y Pablo trabajaba. Y si hay algunos que no trabajan en esta comunidad griega, sin duda lo más probable es que se trate de personas acomodadas socialmente. Que “Pablo” les “mande” un dicho tan taxativo como que “el que no trabaja, que tampoco coma” sin duda es también un fuerte desafío cultural.</w:t>
      </w:r>
    </w:p>
    <w:p w14:paraId="632C7478" w14:textId="77777777" w:rsidR="00BD1778" w:rsidRPr="00AE7442" w:rsidRDefault="00BD1778" w:rsidP="00BD1778">
      <w:pPr>
        <w:widowControl w:val="0"/>
        <w:autoSpaceDE w:val="0"/>
        <w:autoSpaceDN w:val="0"/>
        <w:adjustRightInd w:val="0"/>
        <w:rPr>
          <w:rFonts w:ascii="Arial" w:hAnsi="Arial" w:cs="Arial"/>
          <w:color w:val="1A1A1A"/>
        </w:rPr>
      </w:pPr>
    </w:p>
    <w:p w14:paraId="3B7D05DF" w14:textId="77777777" w:rsidR="00BD1778" w:rsidRPr="00AE7442" w:rsidRDefault="00BD1778" w:rsidP="00BD1778">
      <w:pPr>
        <w:widowControl w:val="0"/>
        <w:autoSpaceDE w:val="0"/>
        <w:autoSpaceDN w:val="0"/>
        <w:adjustRightInd w:val="0"/>
        <w:rPr>
          <w:rFonts w:ascii="Arial" w:hAnsi="Arial" w:cs="Arial"/>
          <w:color w:val="1A1A1A"/>
        </w:rPr>
      </w:pPr>
    </w:p>
    <w:p w14:paraId="46571387" w14:textId="77777777" w:rsidR="00BD1778" w:rsidRPr="00AE7442" w:rsidRDefault="00BD1778" w:rsidP="00BD1778">
      <w:pPr>
        <w:widowControl w:val="0"/>
        <w:autoSpaceDE w:val="0"/>
        <w:autoSpaceDN w:val="0"/>
        <w:adjustRightInd w:val="0"/>
        <w:jc w:val="both"/>
        <w:rPr>
          <w:rFonts w:ascii="Arial" w:hAnsi="Arial" w:cs="Arial"/>
          <w:color w:val="1A1A1A"/>
        </w:rPr>
      </w:pPr>
      <w:r w:rsidRPr="00AE7442">
        <w:rPr>
          <w:rFonts w:ascii="Arial" w:hAnsi="Arial" w:cs="Arial"/>
          <w:color w:val="1A1A1A"/>
        </w:rPr>
        <w:t xml:space="preserve">+ </w:t>
      </w:r>
      <w:r w:rsidRPr="00AE7442">
        <w:rPr>
          <w:rFonts w:ascii="Arial" w:hAnsi="Arial" w:cs="Arial"/>
          <w:b/>
          <w:bCs/>
          <w:color w:val="1A1A1A"/>
        </w:rPr>
        <w:t>Evangelio según san Lucas</w:t>
      </w:r>
      <w:r w:rsidRPr="00AE7442">
        <w:rPr>
          <w:rFonts w:ascii="Arial" w:hAnsi="Arial" w:cs="Arial"/>
          <w:color w:val="1A1A1A"/>
        </w:rPr>
        <w:t xml:space="preserve">     21, 5-19</w:t>
      </w:r>
    </w:p>
    <w:p w14:paraId="159501E1" w14:textId="77777777" w:rsidR="00BD1778" w:rsidRPr="00AE7442" w:rsidRDefault="00BD1778" w:rsidP="00BD1778">
      <w:pPr>
        <w:widowControl w:val="0"/>
        <w:autoSpaceDE w:val="0"/>
        <w:autoSpaceDN w:val="0"/>
        <w:adjustRightInd w:val="0"/>
        <w:jc w:val="both"/>
        <w:rPr>
          <w:rFonts w:ascii="Arial" w:hAnsi="Arial" w:cs="Arial"/>
          <w:i/>
          <w:iCs/>
          <w:color w:val="1A1A1A"/>
        </w:rPr>
      </w:pPr>
    </w:p>
    <w:p w14:paraId="1075D46E" w14:textId="77777777" w:rsidR="00BD1778" w:rsidRPr="00AE7442" w:rsidRDefault="00BD1778" w:rsidP="00BD1778">
      <w:pPr>
        <w:widowControl w:val="0"/>
        <w:autoSpaceDE w:val="0"/>
        <w:autoSpaceDN w:val="0"/>
        <w:adjustRightInd w:val="0"/>
        <w:rPr>
          <w:rFonts w:ascii="Arial" w:hAnsi="Arial" w:cs="Arial"/>
          <w:color w:val="1A1A1A"/>
        </w:rPr>
      </w:pPr>
      <w:r w:rsidRPr="00AE7442">
        <w:rPr>
          <w:rFonts w:ascii="Arial" w:hAnsi="Arial" w:cs="Arial"/>
          <w:i/>
          <w:iCs/>
          <w:color w:val="1A1A1A"/>
        </w:rPr>
        <w:t>Resumen: Partiendo de una alabanza a la belleza del Templo que Jesús escucha, él anunciará –pero más precisamente que Marcos- la destrucción del mismo. Esto repercutirá también en la persecución a los seguidores de Jesús, pero el texto invita a no preocuparse por eso ya que Cristo no se desentiende de sus amigos, y lo que contará en este momento será la resistencia.</w:t>
      </w:r>
    </w:p>
    <w:p w14:paraId="13634293" w14:textId="77777777" w:rsidR="00BD1778" w:rsidRPr="00AE7442" w:rsidRDefault="00BD1778" w:rsidP="00BD1778">
      <w:pPr>
        <w:widowControl w:val="0"/>
        <w:autoSpaceDE w:val="0"/>
        <w:autoSpaceDN w:val="0"/>
        <w:adjustRightInd w:val="0"/>
        <w:rPr>
          <w:rFonts w:ascii="Arial" w:hAnsi="Arial" w:cs="Arial"/>
          <w:color w:val="1A1A1A"/>
        </w:rPr>
      </w:pPr>
    </w:p>
    <w:p w14:paraId="61FDC73C" w14:textId="77777777" w:rsidR="00BD1778" w:rsidRPr="00AE7442" w:rsidRDefault="00BD1778" w:rsidP="00BD1778">
      <w:pPr>
        <w:widowControl w:val="0"/>
        <w:autoSpaceDE w:val="0"/>
        <w:autoSpaceDN w:val="0"/>
        <w:adjustRightInd w:val="0"/>
        <w:rPr>
          <w:rFonts w:ascii="Arial" w:hAnsi="Arial" w:cs="Arial"/>
          <w:color w:val="1A1A1A"/>
        </w:rPr>
      </w:pPr>
    </w:p>
    <w:p w14:paraId="5FD12DB9" w14:textId="77777777" w:rsidR="00BD1778" w:rsidRPr="00AE7442" w:rsidRDefault="00BD1778" w:rsidP="00BD1778">
      <w:pPr>
        <w:widowControl w:val="0"/>
        <w:autoSpaceDE w:val="0"/>
        <w:autoSpaceDN w:val="0"/>
        <w:adjustRightInd w:val="0"/>
        <w:jc w:val="both"/>
        <w:rPr>
          <w:rFonts w:ascii="Arial" w:hAnsi="Arial" w:cs="Arial"/>
          <w:color w:val="1A1A1A"/>
        </w:rPr>
      </w:pPr>
      <w:r w:rsidRPr="00AE7442">
        <w:rPr>
          <w:rFonts w:ascii="Arial" w:hAnsi="Arial" w:cs="Arial"/>
          <w:color w:val="1A1A1A"/>
        </w:rPr>
        <w:t>La unidad literaria del final de Lucas es muy extensa. La misma idea se repite en 19,47-48 y en 21,37-38. El contexto es de controversias en torno al Templo de Jerusalén. Sin embargo, ya en tiempos de Lucas el Templo ha sido destruido, y también Jerusalén. Todo eso es visto por muchos como una suerte de “</w:t>
      </w:r>
      <w:r w:rsidRPr="00AE7442">
        <w:rPr>
          <w:rFonts w:ascii="Arial" w:hAnsi="Arial" w:cs="Arial"/>
          <w:i/>
          <w:iCs/>
          <w:color w:val="1A1A1A"/>
        </w:rPr>
        <w:t>fin del mundo</w:t>
      </w:r>
      <w:r w:rsidRPr="00AE7442">
        <w:rPr>
          <w:rFonts w:ascii="Arial" w:hAnsi="Arial" w:cs="Arial"/>
          <w:color w:val="1A1A1A"/>
        </w:rPr>
        <w:t>”. Estas tres destrucciones marcan diferentes partes en la unidad (21,5-19. 20-24. 25-28). El término griego “</w:t>
      </w:r>
      <w:proofErr w:type="spellStart"/>
      <w:r w:rsidRPr="00AE7442">
        <w:rPr>
          <w:rFonts w:ascii="Arial" w:hAnsi="Arial" w:cs="Arial"/>
          <w:i/>
          <w:iCs/>
          <w:color w:val="1A1A1A"/>
        </w:rPr>
        <w:t>tauta</w:t>
      </w:r>
      <w:proofErr w:type="spellEnd"/>
      <w:r w:rsidRPr="00AE7442">
        <w:rPr>
          <w:rFonts w:ascii="Arial" w:hAnsi="Arial" w:cs="Arial"/>
          <w:color w:val="1A1A1A"/>
        </w:rPr>
        <w:t xml:space="preserve">” (estas cosas) juega un rol de unificador en la unidad (vv.6.7.9.12.28.31.36). “Estas cosas” vendrán acompañadas de signos (vv.7.11.25) que refiere a situaciones dramáticas. Pero Lucas les aclara que los seguidores de Jesús no deben confundir la destrucción del Templo y de la ciudad con el retorno de Jesús (v.8). Los discípulos tienen garantizado de parte de su Maestro que estará de su lado en el conflicto y los llenará de elocuencia en la persecución (cf. 12,11-12 [donde el que dará la elocuencia es el Espíritu] y los casos de Esteban y Pablo en </w:t>
      </w:r>
      <w:proofErr w:type="spellStart"/>
      <w:r w:rsidRPr="00AE7442">
        <w:rPr>
          <w:rFonts w:ascii="Arial" w:hAnsi="Arial" w:cs="Arial"/>
          <w:color w:val="1A1A1A"/>
        </w:rPr>
        <w:t>Hch</w:t>
      </w:r>
      <w:proofErr w:type="spellEnd"/>
      <w:r w:rsidRPr="00AE7442">
        <w:rPr>
          <w:rFonts w:ascii="Arial" w:hAnsi="Arial" w:cs="Arial"/>
          <w:color w:val="1A1A1A"/>
        </w:rPr>
        <w:t xml:space="preserve"> 7 y 21-26 respectivamente).</w:t>
      </w:r>
    </w:p>
    <w:p w14:paraId="76D405BE" w14:textId="77777777" w:rsidR="00BD1778" w:rsidRPr="00AE7442" w:rsidRDefault="00BD1778" w:rsidP="00BD1778">
      <w:pPr>
        <w:widowControl w:val="0"/>
        <w:autoSpaceDE w:val="0"/>
        <w:autoSpaceDN w:val="0"/>
        <w:adjustRightInd w:val="0"/>
        <w:jc w:val="both"/>
        <w:rPr>
          <w:rFonts w:ascii="Arial" w:hAnsi="Arial" w:cs="Arial"/>
          <w:color w:val="1A1A1A"/>
        </w:rPr>
      </w:pPr>
    </w:p>
    <w:p w14:paraId="3EED4DAC" w14:textId="77777777" w:rsidR="00BD1778" w:rsidRPr="00AE7442" w:rsidRDefault="00BD1778" w:rsidP="00BD1778">
      <w:pPr>
        <w:widowControl w:val="0"/>
        <w:autoSpaceDE w:val="0"/>
        <w:autoSpaceDN w:val="0"/>
        <w:adjustRightInd w:val="0"/>
        <w:jc w:val="both"/>
        <w:rPr>
          <w:rFonts w:ascii="Arial" w:hAnsi="Arial" w:cs="Arial"/>
          <w:color w:val="1A1A1A"/>
        </w:rPr>
      </w:pPr>
      <w:r w:rsidRPr="00AE7442">
        <w:rPr>
          <w:rFonts w:ascii="Arial" w:hAnsi="Arial" w:cs="Arial"/>
          <w:color w:val="1A1A1A"/>
        </w:rPr>
        <w:t xml:space="preserve">Como se sabe, en el año 587 a.C. los babilonios destruyeron Jerusalén y su templo. A la vuelta del exilio pudieron reconstruirlo, pero este era pequeño y no tenía el esplendor que se dice tenía el templo salomónico. Fue recién Herodes –amante de las obras “faraónicas”- el que lo reconstruyó dándole esplendor y majestuosidad. Comenzó allá por el año 20 a.C. y la obra no quedó terminada hasta mucho más tarde (en el año 64 d.C.). En tiempos de Jesús todavía se seguía trabajando en ello. En el año 66 d.C. comienza la guerra romana, y estos destruyen Jerusalén y su Templo en el año 70, por lo que la obra concluida tuvo una “vida” efímera. Pero el anuncio de cierta destrucción del Templo es coherente con la predicación de varios profetas (Mi 3,12; </w:t>
      </w:r>
      <w:proofErr w:type="spellStart"/>
      <w:r w:rsidRPr="00AE7442">
        <w:rPr>
          <w:rFonts w:ascii="Arial" w:hAnsi="Arial" w:cs="Arial"/>
          <w:color w:val="1A1A1A"/>
        </w:rPr>
        <w:t>Jer</w:t>
      </w:r>
      <w:proofErr w:type="spellEnd"/>
      <w:r w:rsidRPr="00AE7442">
        <w:rPr>
          <w:rFonts w:ascii="Arial" w:hAnsi="Arial" w:cs="Arial"/>
          <w:color w:val="1A1A1A"/>
        </w:rPr>
        <w:t xml:space="preserve"> 7,14; 26,18). </w:t>
      </w:r>
    </w:p>
    <w:p w14:paraId="30C99EDF" w14:textId="77777777" w:rsidR="00BD1778" w:rsidRPr="00AE7442" w:rsidRDefault="00BD1778" w:rsidP="00BD1778">
      <w:pPr>
        <w:widowControl w:val="0"/>
        <w:autoSpaceDE w:val="0"/>
        <w:autoSpaceDN w:val="0"/>
        <w:adjustRightInd w:val="0"/>
        <w:jc w:val="both"/>
        <w:rPr>
          <w:rFonts w:ascii="Arial" w:hAnsi="Arial" w:cs="Arial"/>
          <w:color w:val="1A1A1A"/>
        </w:rPr>
      </w:pPr>
    </w:p>
    <w:p w14:paraId="41E08D41" w14:textId="77777777" w:rsidR="00BD1778" w:rsidRPr="00AE7442" w:rsidRDefault="00BD1778" w:rsidP="00BD1778">
      <w:pPr>
        <w:widowControl w:val="0"/>
        <w:autoSpaceDE w:val="0"/>
        <w:autoSpaceDN w:val="0"/>
        <w:adjustRightInd w:val="0"/>
        <w:jc w:val="both"/>
        <w:rPr>
          <w:rFonts w:ascii="Arial" w:hAnsi="Arial" w:cs="Arial"/>
          <w:color w:val="1A1A1A"/>
        </w:rPr>
      </w:pPr>
      <w:r w:rsidRPr="00AE7442">
        <w:rPr>
          <w:rFonts w:ascii="Arial" w:hAnsi="Arial" w:cs="Arial"/>
          <w:color w:val="1A1A1A"/>
        </w:rPr>
        <w:t>Sin embargo, es preciso –brevemente ya que no es este el lugar para presentar extensamente esta distinción- diferenciar lo que puede haber dicho Jesús, que probablemente aludió a esta destrucción del Templo, de lo que Lucas afirma. Jesús tuvo actitudes críticas con respecto al Templo, y una serie de ellas se agrupan en los días finales de su ministerio (expulsión de los vendedores, anuncio de la destrucción, falso testimonio de que destruirá el Templo, rasgadura del velo…), pero la redacción de Lucas da ciertos detalles (como también sobre la destrucción de la ciudad)  que invitan a pensar que el tercer evangelista releyó el texto de Marcos 13, quien a su vez releyó las tradiciones sobre los dichos de Jesús; todo esto a la luz de los nuevos acontecimientos y de la intención teológica del autor.</w:t>
      </w:r>
    </w:p>
    <w:p w14:paraId="5E97D1F3" w14:textId="77777777" w:rsidR="00BD1778" w:rsidRPr="00AE7442" w:rsidRDefault="00BD1778" w:rsidP="00BD1778">
      <w:pPr>
        <w:widowControl w:val="0"/>
        <w:autoSpaceDE w:val="0"/>
        <w:autoSpaceDN w:val="0"/>
        <w:adjustRightInd w:val="0"/>
        <w:jc w:val="both"/>
        <w:rPr>
          <w:rFonts w:ascii="Arial" w:hAnsi="Arial" w:cs="Arial"/>
          <w:color w:val="1A1A1A"/>
        </w:rPr>
      </w:pPr>
    </w:p>
    <w:p w14:paraId="015E413B" w14:textId="77777777" w:rsidR="00BD1778" w:rsidRPr="00AE7442" w:rsidRDefault="00BD1778" w:rsidP="00BD1778">
      <w:pPr>
        <w:widowControl w:val="0"/>
        <w:autoSpaceDE w:val="0"/>
        <w:autoSpaceDN w:val="0"/>
        <w:adjustRightInd w:val="0"/>
        <w:jc w:val="both"/>
        <w:rPr>
          <w:rFonts w:ascii="Arial" w:hAnsi="Arial" w:cs="Arial"/>
          <w:color w:val="1A1A1A"/>
        </w:rPr>
      </w:pPr>
      <w:r w:rsidRPr="00AE7442">
        <w:rPr>
          <w:rFonts w:ascii="Arial" w:hAnsi="Arial" w:cs="Arial"/>
          <w:color w:val="1A1A1A"/>
        </w:rPr>
        <w:t>Coherentemente con ciertas lecturas apocalípticas “</w:t>
      </w:r>
      <w:r w:rsidRPr="00AE7442">
        <w:rPr>
          <w:rFonts w:ascii="Arial" w:hAnsi="Arial" w:cs="Arial"/>
          <w:i/>
          <w:iCs/>
          <w:color w:val="1A1A1A"/>
        </w:rPr>
        <w:t>todo</w:t>
      </w:r>
      <w:r w:rsidRPr="00AE7442">
        <w:rPr>
          <w:rFonts w:ascii="Arial" w:hAnsi="Arial" w:cs="Arial"/>
          <w:color w:val="1A1A1A"/>
        </w:rPr>
        <w:t xml:space="preserve">” aparece entremezclado: la destrucción de Jerusalén coincide a su vez con el fin del mundo y con la venida del hijo del hombre. Lucas, expresamente, pretende desmontar este imaginario. La destrucción de Jerusalén ya ocurrió, el fin del mundo todavía no, y la expectativa de la venida del hijo del hombre fue aprovechada por ciertos personajes (ver </w:t>
      </w:r>
      <w:proofErr w:type="spellStart"/>
      <w:r w:rsidRPr="00AE7442">
        <w:rPr>
          <w:rFonts w:ascii="Arial" w:hAnsi="Arial" w:cs="Arial"/>
          <w:color w:val="1A1A1A"/>
        </w:rPr>
        <w:t>Hch</w:t>
      </w:r>
      <w:proofErr w:type="spellEnd"/>
      <w:r w:rsidRPr="00AE7442">
        <w:rPr>
          <w:rFonts w:ascii="Arial" w:hAnsi="Arial" w:cs="Arial"/>
          <w:color w:val="1A1A1A"/>
        </w:rPr>
        <w:t xml:space="preserve"> 5,36-37), pero todavía no ocurrió, falta un poco aún (“</w:t>
      </w:r>
      <w:r w:rsidRPr="00AE7442">
        <w:rPr>
          <w:rFonts w:ascii="Arial" w:hAnsi="Arial" w:cs="Arial"/>
          <w:i/>
          <w:iCs/>
          <w:color w:val="1A1A1A"/>
        </w:rPr>
        <w:t>el fin no es inmediato</w:t>
      </w:r>
      <w:r w:rsidRPr="00AE7442">
        <w:rPr>
          <w:rFonts w:ascii="Arial" w:hAnsi="Arial" w:cs="Arial"/>
          <w:color w:val="1A1A1A"/>
        </w:rPr>
        <w:t>”, v.9).</w:t>
      </w:r>
    </w:p>
    <w:p w14:paraId="17F921C5" w14:textId="77777777" w:rsidR="00BD1778" w:rsidRPr="00AE7442" w:rsidRDefault="00BD1778" w:rsidP="00BD1778">
      <w:pPr>
        <w:widowControl w:val="0"/>
        <w:autoSpaceDE w:val="0"/>
        <w:autoSpaceDN w:val="0"/>
        <w:adjustRightInd w:val="0"/>
        <w:jc w:val="both"/>
        <w:rPr>
          <w:rFonts w:ascii="Arial" w:hAnsi="Arial" w:cs="Arial"/>
          <w:color w:val="1A1A1A"/>
        </w:rPr>
      </w:pPr>
    </w:p>
    <w:p w14:paraId="4B9131EC" w14:textId="77777777" w:rsidR="00BD1778" w:rsidRPr="00AE7442" w:rsidRDefault="00BD1778" w:rsidP="00BD1778">
      <w:pPr>
        <w:widowControl w:val="0"/>
        <w:autoSpaceDE w:val="0"/>
        <w:autoSpaceDN w:val="0"/>
        <w:adjustRightInd w:val="0"/>
        <w:jc w:val="both"/>
        <w:rPr>
          <w:rFonts w:ascii="Arial" w:hAnsi="Arial" w:cs="Arial"/>
          <w:color w:val="1A1A1A"/>
        </w:rPr>
      </w:pPr>
      <w:r w:rsidRPr="00AE7442">
        <w:rPr>
          <w:rFonts w:ascii="Arial" w:hAnsi="Arial" w:cs="Arial"/>
          <w:color w:val="1A1A1A"/>
        </w:rPr>
        <w:t>Los momentos de confusión son alentados por falsos rumores (algo semejante a lo que motiva al discípulo de Pablo a escribir 2 Tesalonicenses). No hace falta ver los conflictos presentes como indicios de un fin inminente. Marcos los había presentado metafóricamente como “</w:t>
      </w:r>
      <w:r w:rsidRPr="00AE7442">
        <w:rPr>
          <w:rFonts w:ascii="Arial" w:hAnsi="Arial" w:cs="Arial"/>
          <w:i/>
          <w:iCs/>
          <w:color w:val="1A1A1A"/>
        </w:rPr>
        <w:t>dolores de parto</w:t>
      </w:r>
      <w:r w:rsidRPr="00AE7442">
        <w:rPr>
          <w:rFonts w:ascii="Arial" w:hAnsi="Arial" w:cs="Arial"/>
          <w:color w:val="1A1A1A"/>
        </w:rPr>
        <w:t>” (13,8). Lucas parece haber visto esos indicios no como anuncios del fin del mundo, sino de la destrucción de Jerusalén, como se dijo, algo ya ocurrido. </w:t>
      </w:r>
    </w:p>
    <w:p w14:paraId="1C350849" w14:textId="77777777" w:rsidR="00BD1778" w:rsidRPr="00AE7442" w:rsidRDefault="00BD1778" w:rsidP="00BD1778">
      <w:pPr>
        <w:widowControl w:val="0"/>
        <w:autoSpaceDE w:val="0"/>
        <w:autoSpaceDN w:val="0"/>
        <w:adjustRightInd w:val="0"/>
        <w:jc w:val="both"/>
        <w:rPr>
          <w:rFonts w:ascii="Arial" w:hAnsi="Arial" w:cs="Arial"/>
          <w:color w:val="1A1A1A"/>
        </w:rPr>
      </w:pPr>
    </w:p>
    <w:p w14:paraId="398B96B6" w14:textId="77777777" w:rsidR="00BD1778" w:rsidRPr="00AE7442" w:rsidRDefault="00BD1778" w:rsidP="00BD1778">
      <w:pPr>
        <w:widowControl w:val="0"/>
        <w:autoSpaceDE w:val="0"/>
        <w:autoSpaceDN w:val="0"/>
        <w:adjustRightInd w:val="0"/>
        <w:jc w:val="both"/>
        <w:rPr>
          <w:rFonts w:ascii="Arial" w:hAnsi="Arial" w:cs="Arial"/>
          <w:color w:val="1A1A1A"/>
        </w:rPr>
      </w:pPr>
      <w:r w:rsidRPr="00AE7442">
        <w:rPr>
          <w:rFonts w:ascii="Arial" w:hAnsi="Arial" w:cs="Arial"/>
          <w:color w:val="1A1A1A"/>
        </w:rPr>
        <w:t>Lucas comienza destacando que algunos (probablemente los discípulos) hicieron referencia a los adornos del templo con bellas piedras y ofrendas (</w:t>
      </w:r>
      <w:proofErr w:type="spellStart"/>
      <w:r w:rsidRPr="00AE7442">
        <w:rPr>
          <w:rFonts w:ascii="Arial" w:hAnsi="Arial" w:cs="Arial"/>
          <w:i/>
          <w:iCs/>
          <w:color w:val="1A1A1A"/>
        </w:rPr>
        <w:t>anathêma</w:t>
      </w:r>
      <w:proofErr w:type="spellEnd"/>
      <w:r w:rsidRPr="00AE7442">
        <w:rPr>
          <w:rFonts w:ascii="Arial" w:hAnsi="Arial" w:cs="Arial"/>
          <w:color w:val="1A1A1A"/>
        </w:rPr>
        <w:t>). Lo que cuenta –para ellos- del Templo no es su sentido (ser “</w:t>
      </w:r>
      <w:r w:rsidRPr="00AE7442">
        <w:rPr>
          <w:rFonts w:ascii="Arial" w:hAnsi="Arial" w:cs="Arial"/>
          <w:i/>
          <w:iCs/>
          <w:color w:val="1A1A1A"/>
        </w:rPr>
        <w:t>casa de oración</w:t>
      </w:r>
      <w:r w:rsidRPr="00AE7442">
        <w:rPr>
          <w:rFonts w:ascii="Arial" w:hAnsi="Arial" w:cs="Arial"/>
          <w:color w:val="1A1A1A"/>
        </w:rPr>
        <w:t>”, 19,46) sino su esplendor. Así como lo había dicho de la ciudad de Jerusalén, tampoco del templo quedará “</w:t>
      </w:r>
      <w:r w:rsidRPr="00AE7442">
        <w:rPr>
          <w:rFonts w:ascii="Arial" w:hAnsi="Arial" w:cs="Arial"/>
          <w:i/>
          <w:iCs/>
          <w:color w:val="1A1A1A"/>
        </w:rPr>
        <w:t>piedra sobre piedra</w:t>
      </w:r>
      <w:r w:rsidRPr="00AE7442">
        <w:rPr>
          <w:rFonts w:ascii="Arial" w:hAnsi="Arial" w:cs="Arial"/>
          <w:color w:val="1A1A1A"/>
        </w:rPr>
        <w:t>” (ver 19,44). La pregunta es cuándo sucederá eso que Jesús anuncia, y para ello recurre a “signos” anticipatorios. Pero estos no son indicio de que está ocurriendo (como parece insinuar Marcos) sino de que eso indica que todavía falta para el fin.</w:t>
      </w:r>
    </w:p>
    <w:p w14:paraId="3B2194D1" w14:textId="77777777" w:rsidR="00BD1778" w:rsidRPr="00AE7442" w:rsidRDefault="00BD1778" w:rsidP="00BD1778">
      <w:pPr>
        <w:widowControl w:val="0"/>
        <w:autoSpaceDE w:val="0"/>
        <w:autoSpaceDN w:val="0"/>
        <w:adjustRightInd w:val="0"/>
        <w:jc w:val="both"/>
        <w:rPr>
          <w:rFonts w:ascii="Arial" w:hAnsi="Arial" w:cs="Arial"/>
          <w:color w:val="1A1A1A"/>
        </w:rPr>
      </w:pPr>
    </w:p>
    <w:p w14:paraId="1256E175" w14:textId="77777777" w:rsidR="00BD1778" w:rsidRPr="00AE7442" w:rsidRDefault="00BD1778" w:rsidP="00BD1778">
      <w:pPr>
        <w:widowControl w:val="0"/>
        <w:autoSpaceDE w:val="0"/>
        <w:autoSpaceDN w:val="0"/>
        <w:adjustRightInd w:val="0"/>
        <w:jc w:val="both"/>
        <w:rPr>
          <w:rFonts w:ascii="Arial" w:hAnsi="Arial" w:cs="Arial"/>
          <w:color w:val="1A1A1A"/>
        </w:rPr>
      </w:pPr>
      <w:r w:rsidRPr="00AE7442">
        <w:rPr>
          <w:rFonts w:ascii="Arial" w:hAnsi="Arial" w:cs="Arial"/>
          <w:color w:val="1A1A1A"/>
        </w:rPr>
        <w:t>Las autoridades paganas y judías perseguirán a los discípulos de Jesús. Esta es una gran ocasión de dar testimonio de Jesús, y no deben preocuparse por su defensa ya que el mismo Cristo les dará la elocuencia oportuna (en 12,12 lo hará el Espíritu Santo). En Hechos estas cosas son atestiguadas: los apóstoles son apresados (4,1-3; 5,18; 8,3; 12,4), son torturados (16,22-23), comparecen ante autoridades (18,12; 24,1; 25,1; 26,</w:t>
      </w:r>
      <w:proofErr w:type="gramStart"/>
      <w:r w:rsidRPr="00AE7442">
        <w:rPr>
          <w:rFonts w:ascii="Arial" w:hAnsi="Arial" w:cs="Arial"/>
          <w:color w:val="1A1A1A"/>
        </w:rPr>
        <w:t>1)...</w:t>
      </w:r>
      <w:proofErr w:type="gramEnd"/>
      <w:r w:rsidRPr="00AE7442">
        <w:rPr>
          <w:rFonts w:ascii="Arial" w:hAnsi="Arial" w:cs="Arial"/>
          <w:color w:val="1A1A1A"/>
        </w:rPr>
        <w:t> </w:t>
      </w:r>
    </w:p>
    <w:p w14:paraId="2A13FC94" w14:textId="77777777" w:rsidR="00BD1778" w:rsidRPr="00AE7442" w:rsidRDefault="00BD1778" w:rsidP="00BD1778">
      <w:pPr>
        <w:widowControl w:val="0"/>
        <w:autoSpaceDE w:val="0"/>
        <w:autoSpaceDN w:val="0"/>
        <w:adjustRightInd w:val="0"/>
        <w:jc w:val="both"/>
        <w:rPr>
          <w:rFonts w:ascii="Arial" w:hAnsi="Arial" w:cs="Arial"/>
          <w:color w:val="1A1A1A"/>
        </w:rPr>
      </w:pPr>
    </w:p>
    <w:p w14:paraId="5BCD80A5" w14:textId="77777777" w:rsidR="00BD1778" w:rsidRPr="00AE7442" w:rsidRDefault="00BD1778" w:rsidP="00BD1778">
      <w:pPr>
        <w:widowControl w:val="0"/>
        <w:autoSpaceDE w:val="0"/>
        <w:autoSpaceDN w:val="0"/>
        <w:adjustRightInd w:val="0"/>
        <w:jc w:val="both"/>
        <w:rPr>
          <w:rFonts w:ascii="Arial" w:hAnsi="Arial" w:cs="Arial"/>
          <w:color w:val="1A1A1A"/>
        </w:rPr>
      </w:pPr>
      <w:r w:rsidRPr="00AE7442">
        <w:rPr>
          <w:rFonts w:ascii="Arial" w:hAnsi="Arial" w:cs="Arial"/>
          <w:color w:val="1A1A1A"/>
        </w:rPr>
        <w:t>Veamos más gráficamente esta relación entre “</w:t>
      </w:r>
      <w:r w:rsidRPr="00AE7442">
        <w:rPr>
          <w:rFonts w:ascii="Arial" w:hAnsi="Arial" w:cs="Arial"/>
          <w:i/>
          <w:iCs/>
          <w:color w:val="1A1A1A"/>
        </w:rPr>
        <w:t>anuncio y cumplimiento</w:t>
      </w:r>
      <w:r w:rsidRPr="00AE7442">
        <w:rPr>
          <w:rFonts w:ascii="Arial" w:hAnsi="Arial" w:cs="Arial"/>
          <w:color w:val="1A1A1A"/>
        </w:rPr>
        <w:t>”:</w:t>
      </w:r>
    </w:p>
    <w:p w14:paraId="75CD33B2" w14:textId="77777777" w:rsidR="00BD1778" w:rsidRPr="00AE7442" w:rsidRDefault="00BD1778" w:rsidP="00BD1778">
      <w:pPr>
        <w:widowControl w:val="0"/>
        <w:autoSpaceDE w:val="0"/>
        <w:autoSpaceDN w:val="0"/>
        <w:adjustRightInd w:val="0"/>
        <w:jc w:val="both"/>
        <w:rPr>
          <w:rFonts w:ascii="Arial" w:hAnsi="Arial" w:cs="Arial"/>
          <w:color w:val="1A1A1A"/>
        </w:rPr>
      </w:pPr>
    </w:p>
    <w:tbl>
      <w:tblPr>
        <w:tblW w:w="0" w:type="auto"/>
        <w:tblInd w:w="-121" w:type="dxa"/>
        <w:tblBorders>
          <w:top w:val="nil"/>
          <w:left w:val="nil"/>
          <w:right w:val="nil"/>
        </w:tblBorders>
        <w:tblLayout w:type="fixed"/>
        <w:tblLook w:val="0000" w:firstRow="0" w:lastRow="0" w:firstColumn="0" w:lastColumn="0" w:noHBand="0" w:noVBand="0"/>
      </w:tblPr>
      <w:tblGrid>
        <w:gridCol w:w="4672"/>
        <w:gridCol w:w="6852"/>
      </w:tblGrid>
      <w:tr w:rsidR="00BD1778" w:rsidRPr="00AE7442" w14:paraId="057854E4" w14:textId="77777777">
        <w:tc>
          <w:tcPr>
            <w:tcW w:w="4672" w:type="dxa"/>
            <w:tcBorders>
              <w:top w:val="single" w:sz="10" w:space="0" w:color="auto"/>
              <w:left w:val="single" w:sz="10" w:space="0" w:color="auto"/>
              <w:bottom w:val="single" w:sz="10" w:space="0" w:color="auto"/>
              <w:right w:val="single" w:sz="10" w:space="0" w:color="auto"/>
            </w:tcBorders>
            <w:tcMar>
              <w:top w:w="144" w:type="nil"/>
              <w:right w:w="144" w:type="nil"/>
            </w:tcMar>
          </w:tcPr>
          <w:p w14:paraId="5C453A3C" w14:textId="77777777" w:rsidR="00BD1778" w:rsidRPr="00AE7442" w:rsidRDefault="00BD1778">
            <w:pPr>
              <w:widowControl w:val="0"/>
              <w:autoSpaceDE w:val="0"/>
              <w:autoSpaceDN w:val="0"/>
              <w:adjustRightInd w:val="0"/>
              <w:rPr>
                <w:rFonts w:ascii="Arial" w:hAnsi="Arial" w:cs="Arial"/>
                <w:color w:val="1A1A1A"/>
              </w:rPr>
            </w:pPr>
            <w:r w:rsidRPr="00AE7442">
              <w:rPr>
                <w:rFonts w:ascii="Arial" w:hAnsi="Arial" w:cs="Arial"/>
                <w:i/>
                <w:iCs/>
                <w:color w:val="1A1A1A"/>
              </w:rPr>
              <w:t>Hecho anunciado (vv.12-16)</w:t>
            </w:r>
          </w:p>
        </w:tc>
        <w:tc>
          <w:tcPr>
            <w:tcW w:w="6852" w:type="dxa"/>
            <w:tcBorders>
              <w:top w:val="single" w:sz="10" w:space="0" w:color="auto"/>
              <w:left w:val="single" w:sz="10" w:space="0" w:color="auto"/>
              <w:bottom w:val="single" w:sz="10" w:space="0" w:color="auto"/>
              <w:right w:val="single" w:sz="10" w:space="0" w:color="auto"/>
            </w:tcBorders>
            <w:tcMar>
              <w:top w:w="144" w:type="nil"/>
              <w:right w:w="144" w:type="nil"/>
            </w:tcMar>
          </w:tcPr>
          <w:p w14:paraId="66D7F253" w14:textId="77777777" w:rsidR="00BD1778" w:rsidRPr="00AE7442" w:rsidRDefault="00BD1778">
            <w:pPr>
              <w:widowControl w:val="0"/>
              <w:autoSpaceDE w:val="0"/>
              <w:autoSpaceDN w:val="0"/>
              <w:adjustRightInd w:val="0"/>
              <w:rPr>
                <w:rFonts w:ascii="Arial" w:hAnsi="Arial" w:cs="Arial"/>
                <w:color w:val="1A1A1A"/>
              </w:rPr>
            </w:pPr>
            <w:r w:rsidRPr="00AE7442">
              <w:rPr>
                <w:rFonts w:ascii="Arial" w:hAnsi="Arial" w:cs="Arial"/>
                <w:i/>
                <w:iCs/>
                <w:color w:val="1A1A1A"/>
              </w:rPr>
              <w:t>Cumplimiento en Hechos de los Apóstoles</w:t>
            </w:r>
          </w:p>
        </w:tc>
      </w:tr>
      <w:tr w:rsidR="00BD1778" w:rsidRPr="00AE7442" w14:paraId="445C3893" w14:textId="77777777">
        <w:tblPrEx>
          <w:tblBorders>
            <w:top w:val="none" w:sz="0" w:space="0" w:color="auto"/>
          </w:tblBorders>
        </w:tblPrEx>
        <w:tc>
          <w:tcPr>
            <w:tcW w:w="4672" w:type="dxa"/>
            <w:tcBorders>
              <w:top w:val="single" w:sz="10" w:space="0" w:color="auto"/>
              <w:left w:val="single" w:sz="10" w:space="0" w:color="auto"/>
              <w:bottom w:val="single" w:sz="10" w:space="0" w:color="auto"/>
              <w:right w:val="single" w:sz="10" w:space="0" w:color="auto"/>
            </w:tcBorders>
            <w:tcMar>
              <w:top w:w="144" w:type="nil"/>
              <w:right w:w="144" w:type="nil"/>
            </w:tcMar>
          </w:tcPr>
          <w:p w14:paraId="745D502B" w14:textId="77777777" w:rsidR="00BD1778" w:rsidRPr="00AE7442" w:rsidRDefault="00BD1778">
            <w:pPr>
              <w:widowControl w:val="0"/>
              <w:autoSpaceDE w:val="0"/>
              <w:autoSpaceDN w:val="0"/>
              <w:adjustRightInd w:val="0"/>
              <w:jc w:val="both"/>
              <w:rPr>
                <w:rFonts w:ascii="Arial" w:hAnsi="Arial" w:cs="Arial"/>
                <w:color w:val="1A1A1A"/>
              </w:rPr>
            </w:pPr>
            <w:r w:rsidRPr="00AE7442">
              <w:rPr>
                <w:rFonts w:ascii="Arial" w:hAnsi="Arial" w:cs="Arial"/>
                <w:color w:val="1A1A1A"/>
              </w:rPr>
              <w:t>Les echarán mano</w:t>
            </w:r>
          </w:p>
        </w:tc>
        <w:tc>
          <w:tcPr>
            <w:tcW w:w="6852" w:type="dxa"/>
            <w:tcBorders>
              <w:bottom w:val="single" w:sz="10" w:space="0" w:color="auto"/>
              <w:right w:val="single" w:sz="10" w:space="0" w:color="auto"/>
            </w:tcBorders>
            <w:tcMar>
              <w:top w:w="144" w:type="nil"/>
              <w:right w:w="144" w:type="nil"/>
            </w:tcMar>
          </w:tcPr>
          <w:p w14:paraId="3AD97B4E" w14:textId="77777777" w:rsidR="00BD1778" w:rsidRPr="00AE7442" w:rsidRDefault="00BD1778">
            <w:pPr>
              <w:widowControl w:val="0"/>
              <w:autoSpaceDE w:val="0"/>
              <w:autoSpaceDN w:val="0"/>
              <w:adjustRightInd w:val="0"/>
              <w:jc w:val="both"/>
              <w:rPr>
                <w:rFonts w:ascii="Arial" w:hAnsi="Arial" w:cs="Arial"/>
                <w:color w:val="1A1A1A"/>
              </w:rPr>
            </w:pPr>
            <w:r w:rsidRPr="00AE7442">
              <w:rPr>
                <w:rFonts w:ascii="Arial" w:hAnsi="Arial" w:cs="Arial"/>
                <w:color w:val="1A1A1A"/>
              </w:rPr>
              <w:t>4,3; 5,18</w:t>
            </w:r>
          </w:p>
        </w:tc>
      </w:tr>
      <w:tr w:rsidR="00BD1778" w:rsidRPr="00AE7442" w14:paraId="5A59FFDB" w14:textId="77777777">
        <w:tblPrEx>
          <w:tblBorders>
            <w:top w:val="none" w:sz="0" w:space="0" w:color="auto"/>
          </w:tblBorders>
        </w:tblPrEx>
        <w:tc>
          <w:tcPr>
            <w:tcW w:w="4672" w:type="dxa"/>
            <w:tcBorders>
              <w:top w:val="single" w:sz="10" w:space="0" w:color="auto"/>
              <w:left w:val="single" w:sz="10" w:space="0" w:color="auto"/>
              <w:bottom w:val="single" w:sz="10" w:space="0" w:color="auto"/>
              <w:right w:val="single" w:sz="10" w:space="0" w:color="auto"/>
            </w:tcBorders>
            <w:tcMar>
              <w:top w:w="144" w:type="nil"/>
              <w:right w:w="144" w:type="nil"/>
            </w:tcMar>
          </w:tcPr>
          <w:p w14:paraId="20F3460E" w14:textId="77777777" w:rsidR="00BD1778" w:rsidRPr="00AE7442" w:rsidRDefault="00BD1778">
            <w:pPr>
              <w:widowControl w:val="0"/>
              <w:autoSpaceDE w:val="0"/>
              <w:autoSpaceDN w:val="0"/>
              <w:adjustRightInd w:val="0"/>
              <w:jc w:val="both"/>
              <w:rPr>
                <w:rFonts w:ascii="Arial" w:hAnsi="Arial" w:cs="Arial"/>
                <w:color w:val="1A1A1A"/>
              </w:rPr>
            </w:pPr>
            <w:r w:rsidRPr="00AE7442">
              <w:rPr>
                <w:rFonts w:ascii="Arial" w:hAnsi="Arial" w:cs="Arial"/>
                <w:color w:val="1A1A1A"/>
              </w:rPr>
              <w:t>Perseguirán</w:t>
            </w:r>
          </w:p>
        </w:tc>
        <w:tc>
          <w:tcPr>
            <w:tcW w:w="6852" w:type="dxa"/>
            <w:tcBorders>
              <w:bottom w:val="single" w:sz="10" w:space="0" w:color="auto"/>
              <w:right w:val="single" w:sz="10" w:space="0" w:color="auto"/>
            </w:tcBorders>
            <w:tcMar>
              <w:top w:w="144" w:type="nil"/>
              <w:right w:w="144" w:type="nil"/>
            </w:tcMar>
          </w:tcPr>
          <w:p w14:paraId="2FD35B15" w14:textId="77777777" w:rsidR="00BD1778" w:rsidRPr="00AE7442" w:rsidRDefault="00BD1778">
            <w:pPr>
              <w:widowControl w:val="0"/>
              <w:autoSpaceDE w:val="0"/>
              <w:autoSpaceDN w:val="0"/>
              <w:adjustRightInd w:val="0"/>
              <w:jc w:val="both"/>
              <w:rPr>
                <w:rFonts w:ascii="Arial" w:hAnsi="Arial" w:cs="Arial"/>
                <w:color w:val="1A1A1A"/>
              </w:rPr>
            </w:pPr>
            <w:r w:rsidRPr="00AE7442">
              <w:rPr>
                <w:rFonts w:ascii="Arial" w:hAnsi="Arial" w:cs="Arial"/>
                <w:color w:val="1A1A1A"/>
              </w:rPr>
              <w:t>9,4; 22,4</w:t>
            </w:r>
          </w:p>
        </w:tc>
      </w:tr>
      <w:tr w:rsidR="00BD1778" w:rsidRPr="00AE7442" w14:paraId="7F042C67" w14:textId="77777777">
        <w:tblPrEx>
          <w:tblBorders>
            <w:top w:val="none" w:sz="0" w:space="0" w:color="auto"/>
          </w:tblBorders>
        </w:tblPrEx>
        <w:tc>
          <w:tcPr>
            <w:tcW w:w="4672" w:type="dxa"/>
            <w:tcBorders>
              <w:top w:val="single" w:sz="10" w:space="0" w:color="auto"/>
              <w:left w:val="single" w:sz="10" w:space="0" w:color="auto"/>
              <w:bottom w:val="single" w:sz="10" w:space="0" w:color="auto"/>
              <w:right w:val="single" w:sz="10" w:space="0" w:color="auto"/>
            </w:tcBorders>
            <w:tcMar>
              <w:top w:w="144" w:type="nil"/>
              <w:right w:w="144" w:type="nil"/>
            </w:tcMar>
          </w:tcPr>
          <w:p w14:paraId="49B95C7C" w14:textId="77777777" w:rsidR="00BD1778" w:rsidRPr="00AE7442" w:rsidRDefault="00BD1778">
            <w:pPr>
              <w:widowControl w:val="0"/>
              <w:autoSpaceDE w:val="0"/>
              <w:autoSpaceDN w:val="0"/>
              <w:adjustRightInd w:val="0"/>
              <w:jc w:val="both"/>
              <w:rPr>
                <w:rFonts w:ascii="Arial" w:hAnsi="Arial" w:cs="Arial"/>
                <w:color w:val="1A1A1A"/>
              </w:rPr>
            </w:pPr>
            <w:r w:rsidRPr="00AE7442">
              <w:rPr>
                <w:rFonts w:ascii="Arial" w:hAnsi="Arial" w:cs="Arial"/>
                <w:color w:val="1A1A1A"/>
              </w:rPr>
              <w:t>En las sinagogas</w:t>
            </w:r>
          </w:p>
        </w:tc>
        <w:tc>
          <w:tcPr>
            <w:tcW w:w="6852" w:type="dxa"/>
            <w:tcBorders>
              <w:bottom w:val="single" w:sz="10" w:space="0" w:color="auto"/>
              <w:right w:val="single" w:sz="10" w:space="0" w:color="auto"/>
            </w:tcBorders>
            <w:tcMar>
              <w:top w:w="144" w:type="nil"/>
              <w:right w:w="144" w:type="nil"/>
            </w:tcMar>
          </w:tcPr>
          <w:p w14:paraId="671DD869" w14:textId="77777777" w:rsidR="00BD1778" w:rsidRPr="00AE7442" w:rsidRDefault="00BD1778">
            <w:pPr>
              <w:widowControl w:val="0"/>
              <w:autoSpaceDE w:val="0"/>
              <w:autoSpaceDN w:val="0"/>
              <w:adjustRightInd w:val="0"/>
              <w:jc w:val="both"/>
              <w:rPr>
                <w:rFonts w:ascii="Arial" w:hAnsi="Arial" w:cs="Arial"/>
                <w:color w:val="1A1A1A"/>
              </w:rPr>
            </w:pPr>
            <w:r w:rsidRPr="00AE7442">
              <w:rPr>
                <w:rFonts w:ascii="Arial" w:hAnsi="Arial" w:cs="Arial"/>
                <w:color w:val="1A1A1A"/>
              </w:rPr>
              <w:t>9,2; 26,11</w:t>
            </w:r>
          </w:p>
        </w:tc>
      </w:tr>
      <w:tr w:rsidR="00BD1778" w:rsidRPr="00AE7442" w14:paraId="0DE993D9" w14:textId="77777777">
        <w:tblPrEx>
          <w:tblBorders>
            <w:top w:val="none" w:sz="0" w:space="0" w:color="auto"/>
          </w:tblBorders>
        </w:tblPrEx>
        <w:tc>
          <w:tcPr>
            <w:tcW w:w="4672" w:type="dxa"/>
            <w:tcBorders>
              <w:top w:val="single" w:sz="10" w:space="0" w:color="auto"/>
              <w:left w:val="single" w:sz="10" w:space="0" w:color="auto"/>
              <w:bottom w:val="single" w:sz="10" w:space="0" w:color="auto"/>
              <w:right w:val="single" w:sz="10" w:space="0" w:color="auto"/>
            </w:tcBorders>
            <w:tcMar>
              <w:top w:w="144" w:type="nil"/>
              <w:right w:w="144" w:type="nil"/>
            </w:tcMar>
          </w:tcPr>
          <w:p w14:paraId="5E2859B6" w14:textId="77777777" w:rsidR="00BD1778" w:rsidRPr="00AE7442" w:rsidRDefault="00BD1778">
            <w:pPr>
              <w:widowControl w:val="0"/>
              <w:autoSpaceDE w:val="0"/>
              <w:autoSpaceDN w:val="0"/>
              <w:adjustRightInd w:val="0"/>
              <w:jc w:val="both"/>
              <w:rPr>
                <w:rFonts w:ascii="Arial" w:hAnsi="Arial" w:cs="Arial"/>
                <w:color w:val="1A1A1A"/>
              </w:rPr>
            </w:pPr>
            <w:r w:rsidRPr="00AE7442">
              <w:rPr>
                <w:rFonts w:ascii="Arial" w:hAnsi="Arial" w:cs="Arial"/>
                <w:color w:val="1A1A1A"/>
              </w:rPr>
              <w:t>Cárceles</w:t>
            </w:r>
          </w:p>
        </w:tc>
        <w:tc>
          <w:tcPr>
            <w:tcW w:w="6852" w:type="dxa"/>
            <w:tcBorders>
              <w:bottom w:val="single" w:sz="10" w:space="0" w:color="auto"/>
              <w:right w:val="single" w:sz="10" w:space="0" w:color="auto"/>
            </w:tcBorders>
            <w:tcMar>
              <w:top w:w="144" w:type="nil"/>
              <w:right w:w="144" w:type="nil"/>
            </w:tcMar>
          </w:tcPr>
          <w:p w14:paraId="4D068358" w14:textId="77777777" w:rsidR="00BD1778" w:rsidRPr="00AE7442" w:rsidRDefault="00BD1778">
            <w:pPr>
              <w:widowControl w:val="0"/>
              <w:autoSpaceDE w:val="0"/>
              <w:autoSpaceDN w:val="0"/>
              <w:adjustRightInd w:val="0"/>
              <w:jc w:val="both"/>
              <w:rPr>
                <w:rFonts w:ascii="Arial" w:hAnsi="Arial" w:cs="Arial"/>
                <w:color w:val="1A1A1A"/>
              </w:rPr>
            </w:pPr>
            <w:r w:rsidRPr="00AE7442">
              <w:rPr>
                <w:rFonts w:ascii="Arial" w:hAnsi="Arial" w:cs="Arial"/>
                <w:color w:val="1A1A1A"/>
              </w:rPr>
              <w:t>5,19; 8,3;12,4; 16,23</w:t>
            </w:r>
          </w:p>
        </w:tc>
      </w:tr>
      <w:tr w:rsidR="00BD1778" w:rsidRPr="00AE7442" w14:paraId="2569E491" w14:textId="77777777">
        <w:tblPrEx>
          <w:tblBorders>
            <w:top w:val="none" w:sz="0" w:space="0" w:color="auto"/>
          </w:tblBorders>
        </w:tblPrEx>
        <w:tc>
          <w:tcPr>
            <w:tcW w:w="4672" w:type="dxa"/>
            <w:tcBorders>
              <w:top w:val="single" w:sz="10" w:space="0" w:color="auto"/>
              <w:left w:val="single" w:sz="10" w:space="0" w:color="auto"/>
              <w:bottom w:val="single" w:sz="10" w:space="0" w:color="auto"/>
              <w:right w:val="single" w:sz="10" w:space="0" w:color="auto"/>
            </w:tcBorders>
            <w:tcMar>
              <w:top w:w="144" w:type="nil"/>
              <w:right w:w="144" w:type="nil"/>
            </w:tcMar>
          </w:tcPr>
          <w:p w14:paraId="54D9AD3E" w14:textId="77777777" w:rsidR="00BD1778" w:rsidRPr="00AE7442" w:rsidRDefault="00BD1778">
            <w:pPr>
              <w:widowControl w:val="0"/>
              <w:autoSpaceDE w:val="0"/>
              <w:autoSpaceDN w:val="0"/>
              <w:adjustRightInd w:val="0"/>
              <w:jc w:val="both"/>
              <w:rPr>
                <w:rFonts w:ascii="Arial" w:hAnsi="Arial" w:cs="Arial"/>
                <w:color w:val="1A1A1A"/>
              </w:rPr>
            </w:pPr>
            <w:r w:rsidRPr="00AE7442">
              <w:rPr>
                <w:rFonts w:ascii="Arial" w:hAnsi="Arial" w:cs="Arial"/>
                <w:color w:val="1A1A1A"/>
              </w:rPr>
              <w:t>Reyes</w:t>
            </w:r>
          </w:p>
        </w:tc>
        <w:tc>
          <w:tcPr>
            <w:tcW w:w="6852" w:type="dxa"/>
            <w:tcBorders>
              <w:bottom w:val="single" w:sz="10" w:space="0" w:color="auto"/>
              <w:right w:val="single" w:sz="10" w:space="0" w:color="auto"/>
            </w:tcBorders>
            <w:tcMar>
              <w:top w:w="144" w:type="nil"/>
              <w:right w:w="144" w:type="nil"/>
            </w:tcMar>
          </w:tcPr>
          <w:p w14:paraId="3DD81351" w14:textId="77777777" w:rsidR="00BD1778" w:rsidRPr="00AE7442" w:rsidRDefault="00BD1778">
            <w:pPr>
              <w:widowControl w:val="0"/>
              <w:autoSpaceDE w:val="0"/>
              <w:autoSpaceDN w:val="0"/>
              <w:adjustRightInd w:val="0"/>
              <w:jc w:val="both"/>
              <w:rPr>
                <w:rFonts w:ascii="Arial" w:hAnsi="Arial" w:cs="Arial"/>
                <w:color w:val="1A1A1A"/>
              </w:rPr>
            </w:pPr>
            <w:r w:rsidRPr="00AE7442">
              <w:rPr>
                <w:rFonts w:ascii="Arial" w:hAnsi="Arial" w:cs="Arial"/>
                <w:color w:val="1A1A1A"/>
              </w:rPr>
              <w:t>12,1; 25,13</w:t>
            </w:r>
          </w:p>
        </w:tc>
      </w:tr>
      <w:tr w:rsidR="00BD1778" w:rsidRPr="00AE7442" w14:paraId="2CD111BE" w14:textId="77777777">
        <w:tblPrEx>
          <w:tblBorders>
            <w:top w:val="none" w:sz="0" w:space="0" w:color="auto"/>
          </w:tblBorders>
        </w:tblPrEx>
        <w:tc>
          <w:tcPr>
            <w:tcW w:w="4672" w:type="dxa"/>
            <w:tcBorders>
              <w:top w:val="single" w:sz="10" w:space="0" w:color="auto"/>
              <w:left w:val="single" w:sz="10" w:space="0" w:color="auto"/>
              <w:bottom w:val="single" w:sz="10" w:space="0" w:color="auto"/>
              <w:right w:val="single" w:sz="10" w:space="0" w:color="auto"/>
            </w:tcBorders>
            <w:tcMar>
              <w:top w:w="144" w:type="nil"/>
              <w:right w:w="144" w:type="nil"/>
            </w:tcMar>
          </w:tcPr>
          <w:p w14:paraId="6A7255DB" w14:textId="77777777" w:rsidR="00BD1778" w:rsidRPr="00AE7442" w:rsidRDefault="00BD1778">
            <w:pPr>
              <w:widowControl w:val="0"/>
              <w:autoSpaceDE w:val="0"/>
              <w:autoSpaceDN w:val="0"/>
              <w:adjustRightInd w:val="0"/>
              <w:jc w:val="both"/>
              <w:rPr>
                <w:rFonts w:ascii="Arial" w:hAnsi="Arial" w:cs="Arial"/>
                <w:color w:val="1A1A1A"/>
              </w:rPr>
            </w:pPr>
            <w:r w:rsidRPr="00AE7442">
              <w:rPr>
                <w:rFonts w:ascii="Arial" w:hAnsi="Arial" w:cs="Arial"/>
                <w:color w:val="1A1A1A"/>
              </w:rPr>
              <w:t>Gobernadores</w:t>
            </w:r>
          </w:p>
        </w:tc>
        <w:tc>
          <w:tcPr>
            <w:tcW w:w="6852" w:type="dxa"/>
            <w:tcBorders>
              <w:bottom w:val="single" w:sz="10" w:space="0" w:color="auto"/>
              <w:right w:val="single" w:sz="10" w:space="0" w:color="auto"/>
            </w:tcBorders>
            <w:tcMar>
              <w:top w:w="144" w:type="nil"/>
              <w:right w:w="144" w:type="nil"/>
            </w:tcMar>
          </w:tcPr>
          <w:p w14:paraId="3F54A1D4" w14:textId="77777777" w:rsidR="00BD1778" w:rsidRPr="00AE7442" w:rsidRDefault="00BD1778">
            <w:pPr>
              <w:widowControl w:val="0"/>
              <w:autoSpaceDE w:val="0"/>
              <w:autoSpaceDN w:val="0"/>
              <w:adjustRightInd w:val="0"/>
              <w:jc w:val="both"/>
              <w:rPr>
                <w:rFonts w:ascii="Arial" w:hAnsi="Arial" w:cs="Arial"/>
                <w:color w:val="1A1A1A"/>
              </w:rPr>
            </w:pPr>
            <w:r w:rsidRPr="00AE7442">
              <w:rPr>
                <w:rFonts w:ascii="Arial" w:hAnsi="Arial" w:cs="Arial"/>
                <w:color w:val="1A1A1A"/>
              </w:rPr>
              <w:t>23,24,26; 26,30</w:t>
            </w:r>
          </w:p>
        </w:tc>
      </w:tr>
      <w:tr w:rsidR="00BD1778" w:rsidRPr="00AE7442" w14:paraId="104893A8" w14:textId="77777777">
        <w:tblPrEx>
          <w:tblBorders>
            <w:top w:val="none" w:sz="0" w:space="0" w:color="auto"/>
          </w:tblBorders>
        </w:tblPrEx>
        <w:tc>
          <w:tcPr>
            <w:tcW w:w="4672" w:type="dxa"/>
            <w:tcBorders>
              <w:top w:val="single" w:sz="10" w:space="0" w:color="auto"/>
              <w:left w:val="single" w:sz="10" w:space="0" w:color="auto"/>
              <w:bottom w:val="single" w:sz="10" w:space="0" w:color="auto"/>
              <w:right w:val="single" w:sz="10" w:space="0" w:color="auto"/>
            </w:tcBorders>
            <w:tcMar>
              <w:top w:w="144" w:type="nil"/>
              <w:right w:w="144" w:type="nil"/>
            </w:tcMar>
          </w:tcPr>
          <w:p w14:paraId="6BA263B0" w14:textId="77777777" w:rsidR="00BD1778" w:rsidRPr="00AE7442" w:rsidRDefault="00BD1778">
            <w:pPr>
              <w:widowControl w:val="0"/>
              <w:autoSpaceDE w:val="0"/>
              <w:autoSpaceDN w:val="0"/>
              <w:adjustRightInd w:val="0"/>
              <w:jc w:val="both"/>
              <w:rPr>
                <w:rFonts w:ascii="Arial" w:hAnsi="Arial" w:cs="Arial"/>
                <w:color w:val="1A1A1A"/>
              </w:rPr>
            </w:pPr>
            <w:r w:rsidRPr="00AE7442">
              <w:rPr>
                <w:rFonts w:ascii="Arial" w:hAnsi="Arial" w:cs="Arial"/>
                <w:color w:val="1A1A1A"/>
              </w:rPr>
              <w:t>Por mi nombre</w:t>
            </w:r>
          </w:p>
        </w:tc>
        <w:tc>
          <w:tcPr>
            <w:tcW w:w="6852" w:type="dxa"/>
            <w:tcBorders>
              <w:bottom w:val="single" w:sz="10" w:space="0" w:color="auto"/>
              <w:right w:val="single" w:sz="10" w:space="0" w:color="auto"/>
            </w:tcBorders>
            <w:tcMar>
              <w:top w:w="144" w:type="nil"/>
              <w:right w:w="144" w:type="nil"/>
            </w:tcMar>
          </w:tcPr>
          <w:p w14:paraId="4FD74395" w14:textId="77777777" w:rsidR="00BD1778" w:rsidRPr="00AE7442" w:rsidRDefault="00BD1778">
            <w:pPr>
              <w:widowControl w:val="0"/>
              <w:autoSpaceDE w:val="0"/>
              <w:autoSpaceDN w:val="0"/>
              <w:adjustRightInd w:val="0"/>
              <w:jc w:val="both"/>
              <w:rPr>
                <w:rFonts w:ascii="Arial" w:hAnsi="Arial" w:cs="Arial"/>
                <w:color w:val="1A1A1A"/>
              </w:rPr>
            </w:pPr>
            <w:r w:rsidRPr="00AE7442">
              <w:rPr>
                <w:rFonts w:ascii="Arial" w:hAnsi="Arial" w:cs="Arial"/>
                <w:color w:val="1A1A1A"/>
              </w:rPr>
              <w:t>4,7.10.17-18; 5,28.40</w:t>
            </w:r>
          </w:p>
        </w:tc>
      </w:tr>
      <w:tr w:rsidR="00BD1778" w:rsidRPr="00AE7442" w14:paraId="0E4EFC31" w14:textId="77777777">
        <w:tblPrEx>
          <w:tblBorders>
            <w:top w:val="none" w:sz="0" w:space="0" w:color="auto"/>
          </w:tblBorders>
        </w:tblPrEx>
        <w:tc>
          <w:tcPr>
            <w:tcW w:w="4672" w:type="dxa"/>
            <w:tcBorders>
              <w:top w:val="single" w:sz="10" w:space="0" w:color="auto"/>
              <w:left w:val="single" w:sz="10" w:space="0" w:color="auto"/>
              <w:bottom w:val="single" w:sz="10" w:space="0" w:color="auto"/>
              <w:right w:val="single" w:sz="10" w:space="0" w:color="auto"/>
            </w:tcBorders>
            <w:tcMar>
              <w:top w:w="144" w:type="nil"/>
              <w:right w:w="144" w:type="nil"/>
            </w:tcMar>
          </w:tcPr>
          <w:p w14:paraId="4B55566B" w14:textId="77777777" w:rsidR="00BD1778" w:rsidRPr="00AE7442" w:rsidRDefault="00BD1778">
            <w:pPr>
              <w:widowControl w:val="0"/>
              <w:autoSpaceDE w:val="0"/>
              <w:autoSpaceDN w:val="0"/>
              <w:adjustRightInd w:val="0"/>
              <w:jc w:val="both"/>
              <w:rPr>
                <w:rFonts w:ascii="Arial" w:hAnsi="Arial" w:cs="Arial"/>
                <w:color w:val="1A1A1A"/>
              </w:rPr>
            </w:pPr>
            <w:r w:rsidRPr="00AE7442">
              <w:rPr>
                <w:rFonts w:ascii="Arial" w:hAnsi="Arial" w:cs="Arial"/>
                <w:color w:val="1A1A1A"/>
              </w:rPr>
              <w:t>Para que den testimonio</w:t>
            </w:r>
          </w:p>
        </w:tc>
        <w:tc>
          <w:tcPr>
            <w:tcW w:w="6852" w:type="dxa"/>
            <w:tcBorders>
              <w:bottom w:val="single" w:sz="10" w:space="0" w:color="auto"/>
              <w:right w:val="single" w:sz="10" w:space="0" w:color="auto"/>
            </w:tcBorders>
            <w:tcMar>
              <w:top w:w="144" w:type="nil"/>
              <w:right w:w="144" w:type="nil"/>
            </w:tcMar>
          </w:tcPr>
          <w:p w14:paraId="23E11E2A" w14:textId="77777777" w:rsidR="00BD1778" w:rsidRPr="00AE7442" w:rsidRDefault="00BD1778">
            <w:pPr>
              <w:widowControl w:val="0"/>
              <w:autoSpaceDE w:val="0"/>
              <w:autoSpaceDN w:val="0"/>
              <w:adjustRightInd w:val="0"/>
              <w:jc w:val="both"/>
              <w:rPr>
                <w:rFonts w:ascii="Arial" w:hAnsi="Arial" w:cs="Arial"/>
                <w:color w:val="1A1A1A"/>
              </w:rPr>
            </w:pPr>
            <w:r w:rsidRPr="00AE7442">
              <w:rPr>
                <w:rFonts w:ascii="Arial" w:hAnsi="Arial" w:cs="Arial"/>
                <w:color w:val="1A1A1A"/>
              </w:rPr>
              <w:t>3,15; 4,33; 5,32; 20,26; 26,22</w:t>
            </w:r>
          </w:p>
        </w:tc>
      </w:tr>
      <w:tr w:rsidR="00BD1778" w:rsidRPr="00AE7442" w14:paraId="1FACA2BD" w14:textId="77777777">
        <w:tblPrEx>
          <w:tblBorders>
            <w:top w:val="none" w:sz="0" w:space="0" w:color="auto"/>
          </w:tblBorders>
        </w:tblPrEx>
        <w:tc>
          <w:tcPr>
            <w:tcW w:w="4672" w:type="dxa"/>
            <w:tcBorders>
              <w:top w:val="single" w:sz="10" w:space="0" w:color="auto"/>
              <w:left w:val="single" w:sz="10" w:space="0" w:color="auto"/>
              <w:bottom w:val="single" w:sz="10" w:space="0" w:color="auto"/>
              <w:right w:val="single" w:sz="10" w:space="0" w:color="auto"/>
            </w:tcBorders>
            <w:tcMar>
              <w:top w:w="144" w:type="nil"/>
              <w:right w:w="144" w:type="nil"/>
            </w:tcMar>
          </w:tcPr>
          <w:p w14:paraId="072D897E" w14:textId="77777777" w:rsidR="00BD1778" w:rsidRPr="00AE7442" w:rsidRDefault="00BD1778">
            <w:pPr>
              <w:widowControl w:val="0"/>
              <w:autoSpaceDE w:val="0"/>
              <w:autoSpaceDN w:val="0"/>
              <w:adjustRightInd w:val="0"/>
              <w:jc w:val="both"/>
              <w:rPr>
                <w:rFonts w:ascii="Arial" w:hAnsi="Arial" w:cs="Arial"/>
                <w:color w:val="1A1A1A"/>
              </w:rPr>
            </w:pPr>
            <w:r w:rsidRPr="00AE7442">
              <w:rPr>
                <w:rFonts w:ascii="Arial" w:hAnsi="Arial" w:cs="Arial"/>
                <w:color w:val="1A1A1A"/>
              </w:rPr>
              <w:t>Les daré una elocuencia</w:t>
            </w:r>
          </w:p>
        </w:tc>
        <w:tc>
          <w:tcPr>
            <w:tcW w:w="6852" w:type="dxa"/>
            <w:tcBorders>
              <w:bottom w:val="single" w:sz="10" w:space="0" w:color="auto"/>
              <w:right w:val="single" w:sz="10" w:space="0" w:color="auto"/>
            </w:tcBorders>
            <w:tcMar>
              <w:top w:w="144" w:type="nil"/>
              <w:right w:w="144" w:type="nil"/>
            </w:tcMar>
          </w:tcPr>
          <w:p w14:paraId="79006842" w14:textId="77777777" w:rsidR="00BD1778" w:rsidRPr="00AE7442" w:rsidRDefault="00BD1778">
            <w:pPr>
              <w:widowControl w:val="0"/>
              <w:autoSpaceDE w:val="0"/>
              <w:autoSpaceDN w:val="0"/>
              <w:adjustRightInd w:val="0"/>
              <w:jc w:val="both"/>
              <w:rPr>
                <w:rFonts w:ascii="Arial" w:hAnsi="Arial" w:cs="Arial"/>
                <w:color w:val="1A1A1A"/>
              </w:rPr>
            </w:pPr>
            <w:r w:rsidRPr="00AE7442">
              <w:rPr>
                <w:rFonts w:ascii="Arial" w:hAnsi="Arial" w:cs="Arial"/>
                <w:color w:val="1A1A1A"/>
              </w:rPr>
              <w:t>6,3.10</w:t>
            </w:r>
          </w:p>
        </w:tc>
      </w:tr>
      <w:tr w:rsidR="00BD1778" w:rsidRPr="00AE7442" w14:paraId="3BB178D7" w14:textId="77777777">
        <w:tblPrEx>
          <w:tblBorders>
            <w:top w:val="none" w:sz="0" w:space="0" w:color="auto"/>
          </w:tblBorders>
        </w:tblPrEx>
        <w:tc>
          <w:tcPr>
            <w:tcW w:w="4672" w:type="dxa"/>
            <w:tcBorders>
              <w:top w:val="single" w:sz="10" w:space="0" w:color="auto"/>
              <w:left w:val="single" w:sz="10" w:space="0" w:color="auto"/>
              <w:bottom w:val="single" w:sz="10" w:space="0" w:color="auto"/>
              <w:right w:val="single" w:sz="10" w:space="0" w:color="auto"/>
            </w:tcBorders>
            <w:tcMar>
              <w:top w:w="144" w:type="nil"/>
              <w:right w:w="144" w:type="nil"/>
            </w:tcMar>
          </w:tcPr>
          <w:p w14:paraId="3CEC02C1" w14:textId="77777777" w:rsidR="00BD1778" w:rsidRPr="00AE7442" w:rsidRDefault="00BD1778">
            <w:pPr>
              <w:widowControl w:val="0"/>
              <w:autoSpaceDE w:val="0"/>
              <w:autoSpaceDN w:val="0"/>
              <w:adjustRightInd w:val="0"/>
              <w:jc w:val="both"/>
              <w:rPr>
                <w:rFonts w:ascii="Arial" w:hAnsi="Arial" w:cs="Arial"/>
                <w:color w:val="1A1A1A"/>
              </w:rPr>
            </w:pPr>
            <w:r w:rsidRPr="00AE7442">
              <w:rPr>
                <w:rFonts w:ascii="Arial" w:hAnsi="Arial" w:cs="Arial"/>
                <w:color w:val="1A1A1A"/>
              </w:rPr>
              <w:t>No podrán resistir ni contradecir</w:t>
            </w:r>
          </w:p>
        </w:tc>
        <w:tc>
          <w:tcPr>
            <w:tcW w:w="6852" w:type="dxa"/>
            <w:tcBorders>
              <w:bottom w:val="single" w:sz="10" w:space="0" w:color="auto"/>
              <w:right w:val="single" w:sz="10" w:space="0" w:color="auto"/>
            </w:tcBorders>
            <w:tcMar>
              <w:top w:w="144" w:type="nil"/>
              <w:right w:w="144" w:type="nil"/>
            </w:tcMar>
          </w:tcPr>
          <w:p w14:paraId="453274A3" w14:textId="77777777" w:rsidR="00BD1778" w:rsidRPr="00AE7442" w:rsidRDefault="00BD1778">
            <w:pPr>
              <w:widowControl w:val="0"/>
              <w:autoSpaceDE w:val="0"/>
              <w:autoSpaceDN w:val="0"/>
              <w:adjustRightInd w:val="0"/>
              <w:jc w:val="both"/>
              <w:rPr>
                <w:rFonts w:ascii="Arial" w:hAnsi="Arial" w:cs="Arial"/>
                <w:color w:val="1A1A1A"/>
              </w:rPr>
            </w:pPr>
            <w:r w:rsidRPr="00AE7442">
              <w:rPr>
                <w:rFonts w:ascii="Arial" w:hAnsi="Arial" w:cs="Arial"/>
                <w:color w:val="1A1A1A"/>
              </w:rPr>
              <w:t>6,10; 4,14</w:t>
            </w:r>
          </w:p>
        </w:tc>
      </w:tr>
      <w:tr w:rsidR="00BD1778" w:rsidRPr="00AE7442" w14:paraId="5FAAE82E" w14:textId="77777777">
        <w:tc>
          <w:tcPr>
            <w:tcW w:w="4672" w:type="dxa"/>
            <w:tcBorders>
              <w:top w:val="single" w:sz="10" w:space="0" w:color="auto"/>
              <w:left w:val="single" w:sz="10" w:space="0" w:color="auto"/>
              <w:bottom w:val="single" w:sz="10" w:space="0" w:color="auto"/>
              <w:right w:val="single" w:sz="10" w:space="0" w:color="auto"/>
            </w:tcBorders>
            <w:tcMar>
              <w:top w:w="144" w:type="nil"/>
              <w:right w:w="144" w:type="nil"/>
            </w:tcMar>
          </w:tcPr>
          <w:p w14:paraId="2275B1F7" w14:textId="77777777" w:rsidR="00BD1778" w:rsidRPr="00AE7442" w:rsidRDefault="00BD1778">
            <w:pPr>
              <w:widowControl w:val="0"/>
              <w:autoSpaceDE w:val="0"/>
              <w:autoSpaceDN w:val="0"/>
              <w:adjustRightInd w:val="0"/>
              <w:jc w:val="both"/>
              <w:rPr>
                <w:rFonts w:ascii="Arial" w:hAnsi="Arial" w:cs="Arial"/>
                <w:color w:val="1A1A1A"/>
              </w:rPr>
            </w:pPr>
            <w:r w:rsidRPr="00AE7442">
              <w:rPr>
                <w:rFonts w:ascii="Arial" w:hAnsi="Arial" w:cs="Arial"/>
                <w:color w:val="1A1A1A"/>
              </w:rPr>
              <w:t>Matarán a algunos</w:t>
            </w:r>
          </w:p>
        </w:tc>
        <w:tc>
          <w:tcPr>
            <w:tcW w:w="6852" w:type="dxa"/>
            <w:tcBorders>
              <w:bottom w:val="single" w:sz="10" w:space="0" w:color="auto"/>
              <w:right w:val="single" w:sz="10" w:space="0" w:color="auto"/>
            </w:tcBorders>
            <w:tcMar>
              <w:top w:w="144" w:type="nil"/>
              <w:right w:w="144" w:type="nil"/>
            </w:tcMar>
          </w:tcPr>
          <w:p w14:paraId="18390CC0" w14:textId="77777777" w:rsidR="00BD1778" w:rsidRPr="00AE7442" w:rsidRDefault="00BD1778">
            <w:pPr>
              <w:widowControl w:val="0"/>
              <w:autoSpaceDE w:val="0"/>
              <w:autoSpaceDN w:val="0"/>
              <w:adjustRightInd w:val="0"/>
              <w:jc w:val="both"/>
              <w:rPr>
                <w:rFonts w:ascii="Arial" w:hAnsi="Arial" w:cs="Arial"/>
                <w:color w:val="1A1A1A"/>
              </w:rPr>
            </w:pPr>
            <w:r w:rsidRPr="00AE7442">
              <w:rPr>
                <w:rFonts w:ascii="Arial" w:hAnsi="Arial" w:cs="Arial"/>
                <w:color w:val="1A1A1A"/>
              </w:rPr>
              <w:t>12,1-2</w:t>
            </w:r>
          </w:p>
        </w:tc>
      </w:tr>
    </w:tbl>
    <w:p w14:paraId="3A9A2306" w14:textId="77777777" w:rsidR="00BD1778" w:rsidRPr="00AE7442" w:rsidRDefault="00BD1778" w:rsidP="00BD1778">
      <w:pPr>
        <w:widowControl w:val="0"/>
        <w:autoSpaceDE w:val="0"/>
        <w:autoSpaceDN w:val="0"/>
        <w:adjustRightInd w:val="0"/>
        <w:rPr>
          <w:rFonts w:ascii="Arial" w:hAnsi="Arial" w:cs="Arial"/>
          <w:color w:val="1A1A1A"/>
        </w:rPr>
      </w:pPr>
    </w:p>
    <w:p w14:paraId="463E6FC0" w14:textId="77777777" w:rsidR="00BD1778" w:rsidRPr="00AE7442" w:rsidRDefault="00BD1778" w:rsidP="00BD1778">
      <w:pPr>
        <w:widowControl w:val="0"/>
        <w:autoSpaceDE w:val="0"/>
        <w:autoSpaceDN w:val="0"/>
        <w:adjustRightInd w:val="0"/>
        <w:jc w:val="both"/>
        <w:rPr>
          <w:rFonts w:ascii="Arial" w:hAnsi="Arial" w:cs="Arial"/>
          <w:color w:val="1A1A1A"/>
        </w:rPr>
      </w:pPr>
      <w:r w:rsidRPr="00AE7442">
        <w:rPr>
          <w:rFonts w:ascii="Arial" w:hAnsi="Arial" w:cs="Arial"/>
          <w:color w:val="1A1A1A"/>
        </w:rPr>
        <w:t>Es interesante –añadamos- que esta relación anuncio-cumplimiento queda reforzada por añadidos de Lucas al texto de Marcos a fin de reforzar la relación (por ejemplo, Lucas añade “perseguir”, “</w:t>
      </w:r>
      <w:proofErr w:type="gramStart"/>
      <w:r w:rsidRPr="00AE7442">
        <w:rPr>
          <w:rFonts w:ascii="Arial" w:hAnsi="Arial" w:cs="Arial"/>
          <w:color w:val="1A1A1A"/>
        </w:rPr>
        <w:t>sinagogas”…</w:t>
      </w:r>
      <w:proofErr w:type="gramEnd"/>
      <w:r w:rsidRPr="00AE7442">
        <w:rPr>
          <w:rFonts w:ascii="Arial" w:hAnsi="Arial" w:cs="Arial"/>
          <w:color w:val="1A1A1A"/>
        </w:rPr>
        <w:t>).</w:t>
      </w:r>
    </w:p>
    <w:p w14:paraId="6451F908" w14:textId="77777777" w:rsidR="00BD1778" w:rsidRPr="00AE7442" w:rsidRDefault="00BD1778" w:rsidP="00BD1778">
      <w:pPr>
        <w:widowControl w:val="0"/>
        <w:autoSpaceDE w:val="0"/>
        <w:autoSpaceDN w:val="0"/>
        <w:adjustRightInd w:val="0"/>
        <w:jc w:val="both"/>
        <w:rPr>
          <w:rFonts w:ascii="Arial" w:hAnsi="Arial" w:cs="Arial"/>
          <w:color w:val="1A1A1A"/>
        </w:rPr>
      </w:pPr>
    </w:p>
    <w:p w14:paraId="37CB9168" w14:textId="77777777" w:rsidR="00BD1778" w:rsidRPr="00AE7442" w:rsidRDefault="00BD1778" w:rsidP="00BD1778">
      <w:pPr>
        <w:widowControl w:val="0"/>
        <w:autoSpaceDE w:val="0"/>
        <w:autoSpaceDN w:val="0"/>
        <w:adjustRightInd w:val="0"/>
        <w:jc w:val="both"/>
        <w:rPr>
          <w:rFonts w:ascii="Arial" w:hAnsi="Arial" w:cs="Arial"/>
          <w:color w:val="1A1A1A"/>
        </w:rPr>
      </w:pPr>
      <w:r w:rsidRPr="00AE7442">
        <w:rPr>
          <w:rFonts w:ascii="Arial" w:hAnsi="Arial" w:cs="Arial"/>
          <w:color w:val="1A1A1A"/>
        </w:rPr>
        <w:t>Sin duda esta relación fortalece la imagen profética de Jesús que con tanta insistencia Lucas quiere señalar. El profeta Jesús revela que los tiempos escatológicos han comenzado, y la Iglesia –que debe ser profética por vocación- debe continuar esta obra a lo largo de su tiempo.</w:t>
      </w:r>
    </w:p>
    <w:p w14:paraId="17961308" w14:textId="77777777" w:rsidR="00BD1778" w:rsidRPr="00AE7442" w:rsidRDefault="00BD1778" w:rsidP="00BD1778">
      <w:pPr>
        <w:widowControl w:val="0"/>
        <w:autoSpaceDE w:val="0"/>
        <w:autoSpaceDN w:val="0"/>
        <w:adjustRightInd w:val="0"/>
        <w:jc w:val="both"/>
        <w:rPr>
          <w:rFonts w:ascii="Arial" w:hAnsi="Arial" w:cs="Arial"/>
          <w:color w:val="1A1A1A"/>
        </w:rPr>
      </w:pPr>
    </w:p>
    <w:p w14:paraId="7364E1FC" w14:textId="77777777" w:rsidR="00BD1778" w:rsidRPr="00AE7442" w:rsidRDefault="00BD1778" w:rsidP="00BD1778">
      <w:pPr>
        <w:widowControl w:val="0"/>
        <w:autoSpaceDE w:val="0"/>
        <w:autoSpaceDN w:val="0"/>
        <w:adjustRightInd w:val="0"/>
        <w:jc w:val="both"/>
        <w:rPr>
          <w:rFonts w:ascii="Arial" w:hAnsi="Arial" w:cs="Arial"/>
          <w:color w:val="1A1A1A"/>
        </w:rPr>
      </w:pPr>
      <w:r w:rsidRPr="00AE7442">
        <w:rPr>
          <w:rFonts w:ascii="Arial" w:hAnsi="Arial" w:cs="Arial"/>
          <w:color w:val="1A1A1A"/>
        </w:rPr>
        <w:t>El historiador romano Tácito confirma lo anunciado en el v.17: los cristianos son “</w:t>
      </w:r>
      <w:r w:rsidRPr="00AE7442">
        <w:rPr>
          <w:rFonts w:ascii="Arial" w:hAnsi="Arial" w:cs="Arial"/>
          <w:i/>
          <w:iCs/>
          <w:color w:val="1A1A1A"/>
        </w:rPr>
        <w:t>odiados por todos</w:t>
      </w:r>
      <w:r w:rsidRPr="00AE7442">
        <w:rPr>
          <w:rFonts w:ascii="Arial" w:hAnsi="Arial" w:cs="Arial"/>
          <w:color w:val="1A1A1A"/>
        </w:rPr>
        <w:t>”. Haciendo referencia al incendio de Roma por el que fue acusado Nerón afirma: </w:t>
      </w:r>
    </w:p>
    <w:p w14:paraId="003E76B7" w14:textId="77777777" w:rsidR="00BD1778" w:rsidRPr="00AE7442" w:rsidRDefault="00BD1778" w:rsidP="00BD1778">
      <w:pPr>
        <w:widowControl w:val="0"/>
        <w:autoSpaceDE w:val="0"/>
        <w:autoSpaceDN w:val="0"/>
        <w:adjustRightInd w:val="0"/>
        <w:jc w:val="both"/>
        <w:rPr>
          <w:rFonts w:ascii="Arial" w:hAnsi="Arial" w:cs="Arial"/>
          <w:color w:val="1A1A1A"/>
        </w:rPr>
      </w:pPr>
    </w:p>
    <w:p w14:paraId="775CE8D3" w14:textId="77777777" w:rsidR="00BD1778" w:rsidRPr="00AE7442" w:rsidRDefault="00BD1778" w:rsidP="00BD1778">
      <w:pPr>
        <w:widowControl w:val="0"/>
        <w:autoSpaceDE w:val="0"/>
        <w:autoSpaceDN w:val="0"/>
        <w:adjustRightInd w:val="0"/>
        <w:jc w:val="both"/>
        <w:rPr>
          <w:rFonts w:ascii="Arial" w:hAnsi="Arial" w:cs="Arial"/>
          <w:color w:val="1A1A1A"/>
        </w:rPr>
      </w:pPr>
      <w:r w:rsidRPr="00AE7442">
        <w:rPr>
          <w:rFonts w:ascii="Arial" w:hAnsi="Arial" w:cs="Arial"/>
          <w:color w:val="1A1A1A"/>
        </w:rPr>
        <w:t>“</w:t>
      </w:r>
      <w:r w:rsidRPr="00AE7442">
        <w:rPr>
          <w:rFonts w:ascii="Arial" w:hAnsi="Arial" w:cs="Arial"/>
          <w:i/>
          <w:iCs/>
          <w:color w:val="1A1A1A"/>
        </w:rPr>
        <w:t>para acabar con los rumores, Nerón presentó como culpables y sometió a los más rebuscados tormentos a los que el vulgo llamaba cristianos, aborrecidos por sus ignominias</w:t>
      </w:r>
      <w:r w:rsidRPr="00AE7442">
        <w:rPr>
          <w:rFonts w:ascii="Arial" w:hAnsi="Arial" w:cs="Arial"/>
          <w:color w:val="1A1A1A"/>
        </w:rPr>
        <w:t>” y más adelante señala que “</w:t>
      </w:r>
      <w:r w:rsidRPr="00AE7442">
        <w:rPr>
          <w:rFonts w:ascii="Arial" w:hAnsi="Arial" w:cs="Arial"/>
          <w:i/>
          <w:iCs/>
          <w:color w:val="1A1A1A"/>
        </w:rPr>
        <w:t>se empezó por detener a los que confesaban abiertamente su fe, y luego por denuncia de aquellos, a una ingente multitud, y resultaron convictos no tanto por la acusación del incendio cuanto de odio al género humano</w:t>
      </w:r>
      <w:r w:rsidRPr="00AE7442">
        <w:rPr>
          <w:rFonts w:ascii="Arial" w:hAnsi="Arial" w:cs="Arial"/>
          <w:color w:val="1A1A1A"/>
        </w:rPr>
        <w:t>…” (Tácito, Anales 15.44.2-5).</w:t>
      </w:r>
    </w:p>
    <w:p w14:paraId="425CD626" w14:textId="77777777" w:rsidR="00BD1778" w:rsidRPr="00AE7442" w:rsidRDefault="00BD1778" w:rsidP="00BD1778">
      <w:pPr>
        <w:widowControl w:val="0"/>
        <w:autoSpaceDE w:val="0"/>
        <w:autoSpaceDN w:val="0"/>
        <w:adjustRightInd w:val="0"/>
        <w:jc w:val="both"/>
        <w:rPr>
          <w:rFonts w:ascii="Arial" w:hAnsi="Arial" w:cs="Arial"/>
          <w:color w:val="1A1A1A"/>
        </w:rPr>
      </w:pPr>
    </w:p>
    <w:p w14:paraId="7E903C74" w14:textId="77777777" w:rsidR="00BD1778" w:rsidRPr="00AE7442" w:rsidRDefault="00BD1778" w:rsidP="00BD1778">
      <w:pPr>
        <w:widowControl w:val="0"/>
        <w:autoSpaceDE w:val="0"/>
        <w:autoSpaceDN w:val="0"/>
        <w:adjustRightInd w:val="0"/>
        <w:jc w:val="both"/>
        <w:rPr>
          <w:rFonts w:ascii="Arial" w:hAnsi="Arial" w:cs="Arial"/>
          <w:color w:val="1A1A1A"/>
        </w:rPr>
      </w:pPr>
      <w:r w:rsidRPr="00AE7442">
        <w:rPr>
          <w:rFonts w:ascii="Arial" w:hAnsi="Arial" w:cs="Arial"/>
          <w:color w:val="1A1A1A"/>
        </w:rPr>
        <w:t>La imagen de que los cristianos “serán entregados” (v.12) más adelante es precisada, eso lo provocarán los “padres, hermanos, parientes y amigos” (v.16). Listas semejantes se vuelven a encontrar en el evangelio como los que no deben ser invitados a un banquete (14,12), los que los discípulos deben dejar para seguir a Jesús (18,29). Son los más cercanos los que provocarán esta crisis, del mismo modo que a Jesús lo traiciona “</w:t>
      </w:r>
      <w:r w:rsidRPr="00AE7442">
        <w:rPr>
          <w:rFonts w:ascii="Arial" w:hAnsi="Arial" w:cs="Arial"/>
          <w:i/>
          <w:iCs/>
          <w:color w:val="1A1A1A"/>
        </w:rPr>
        <w:t>uno de los Doce</w:t>
      </w:r>
      <w:r w:rsidRPr="00AE7442">
        <w:rPr>
          <w:rFonts w:ascii="Arial" w:hAnsi="Arial" w:cs="Arial"/>
          <w:color w:val="1A1A1A"/>
        </w:rPr>
        <w:t>” (6,16; 22,3). El odio “</w:t>
      </w:r>
      <w:r w:rsidRPr="00AE7442">
        <w:rPr>
          <w:rFonts w:ascii="Arial" w:hAnsi="Arial" w:cs="Arial"/>
          <w:i/>
          <w:iCs/>
          <w:color w:val="1A1A1A"/>
        </w:rPr>
        <w:t>de todos a causa de mi nombre</w:t>
      </w:r>
      <w:r w:rsidRPr="00AE7442">
        <w:rPr>
          <w:rFonts w:ascii="Arial" w:hAnsi="Arial" w:cs="Arial"/>
          <w:color w:val="1A1A1A"/>
        </w:rPr>
        <w:t>” (v.17) es eco de la última bienaventuranza: “</w:t>
      </w:r>
      <w:r w:rsidRPr="00AE7442">
        <w:rPr>
          <w:rFonts w:ascii="Arial" w:hAnsi="Arial" w:cs="Arial"/>
          <w:i/>
          <w:iCs/>
          <w:color w:val="1A1A1A"/>
        </w:rPr>
        <w:t>felices… cuando los hombres los odien</w:t>
      </w:r>
      <w:r w:rsidRPr="00AE7442">
        <w:rPr>
          <w:rFonts w:ascii="Arial" w:hAnsi="Arial" w:cs="Arial"/>
          <w:color w:val="1A1A1A"/>
        </w:rPr>
        <w:t>” (6,22).</w:t>
      </w:r>
    </w:p>
    <w:p w14:paraId="7E6C275F" w14:textId="77777777" w:rsidR="00BD1778" w:rsidRPr="00AE7442" w:rsidRDefault="00BD1778" w:rsidP="00BD1778">
      <w:pPr>
        <w:widowControl w:val="0"/>
        <w:autoSpaceDE w:val="0"/>
        <w:autoSpaceDN w:val="0"/>
        <w:adjustRightInd w:val="0"/>
        <w:jc w:val="both"/>
        <w:rPr>
          <w:rFonts w:ascii="Arial" w:hAnsi="Arial" w:cs="Arial"/>
          <w:color w:val="1A1A1A"/>
        </w:rPr>
      </w:pPr>
    </w:p>
    <w:p w14:paraId="162F63D2" w14:textId="77777777" w:rsidR="00BD1778" w:rsidRPr="00AE7442" w:rsidRDefault="00BD1778" w:rsidP="00BD1778">
      <w:pPr>
        <w:widowControl w:val="0"/>
        <w:autoSpaceDE w:val="0"/>
        <w:autoSpaceDN w:val="0"/>
        <w:adjustRightInd w:val="0"/>
        <w:jc w:val="both"/>
        <w:rPr>
          <w:rFonts w:ascii="Arial" w:hAnsi="Arial" w:cs="Arial"/>
          <w:color w:val="1A1A1A"/>
        </w:rPr>
      </w:pPr>
      <w:r w:rsidRPr="00AE7442">
        <w:rPr>
          <w:rFonts w:ascii="Arial" w:hAnsi="Arial" w:cs="Arial"/>
          <w:color w:val="1A1A1A"/>
        </w:rPr>
        <w:t>El tiempo de la Iglesia es tiempo de conflicto, y la salvación no llega por la autodefensa, ni por las reacciones, sino por la “</w:t>
      </w:r>
      <w:r w:rsidRPr="00AE7442">
        <w:rPr>
          <w:rFonts w:ascii="Arial" w:hAnsi="Arial" w:cs="Arial"/>
          <w:i/>
          <w:iCs/>
          <w:color w:val="1A1A1A"/>
        </w:rPr>
        <w:t>constancia</w:t>
      </w:r>
      <w:r w:rsidRPr="00AE7442">
        <w:rPr>
          <w:rFonts w:ascii="Arial" w:hAnsi="Arial" w:cs="Arial"/>
          <w:color w:val="1A1A1A"/>
        </w:rPr>
        <w:t>” (v.19). La “constancia”, “aguante”, “perseverancia”, “resistencia” (</w:t>
      </w:r>
      <w:proofErr w:type="spellStart"/>
      <w:r w:rsidRPr="00AE7442">
        <w:rPr>
          <w:rFonts w:ascii="Arial" w:hAnsi="Arial" w:cs="Arial"/>
          <w:i/>
          <w:iCs/>
          <w:color w:val="1A1A1A"/>
        </w:rPr>
        <w:t>hypomonê</w:t>
      </w:r>
      <w:proofErr w:type="spellEnd"/>
      <w:r w:rsidRPr="00AE7442">
        <w:rPr>
          <w:rFonts w:ascii="Arial" w:hAnsi="Arial" w:cs="Arial"/>
          <w:color w:val="1A1A1A"/>
        </w:rPr>
        <w:t xml:space="preserve">) es un término característico de tiempos de conflicto. Sólo se encuentra dos veces en los Evangelios (ambas en Lucas, cf. 8,15), pero frecuente en Apocalipsis (x7), y en Pablo y sus escritos de influencia (x6 en </w:t>
      </w:r>
      <w:proofErr w:type="spellStart"/>
      <w:r w:rsidRPr="00AE7442">
        <w:rPr>
          <w:rFonts w:ascii="Arial" w:hAnsi="Arial" w:cs="Arial"/>
          <w:color w:val="1A1A1A"/>
        </w:rPr>
        <w:t>Rom</w:t>
      </w:r>
      <w:proofErr w:type="spellEnd"/>
      <w:r w:rsidRPr="00AE7442">
        <w:rPr>
          <w:rFonts w:ascii="Arial" w:hAnsi="Arial" w:cs="Arial"/>
          <w:color w:val="1A1A1A"/>
        </w:rPr>
        <w:t xml:space="preserve">, x3 en 2 </w:t>
      </w:r>
      <w:proofErr w:type="spellStart"/>
      <w:r w:rsidRPr="00AE7442">
        <w:rPr>
          <w:rFonts w:ascii="Arial" w:hAnsi="Arial" w:cs="Arial"/>
          <w:color w:val="1A1A1A"/>
        </w:rPr>
        <w:t>Cor</w:t>
      </w:r>
      <w:proofErr w:type="spellEnd"/>
      <w:r w:rsidRPr="00AE7442">
        <w:rPr>
          <w:rFonts w:ascii="Arial" w:hAnsi="Arial" w:cs="Arial"/>
          <w:color w:val="1A1A1A"/>
        </w:rPr>
        <w:t xml:space="preserve">, x1 en 1 </w:t>
      </w:r>
      <w:proofErr w:type="spellStart"/>
      <w:r w:rsidRPr="00AE7442">
        <w:rPr>
          <w:rFonts w:ascii="Arial" w:hAnsi="Arial" w:cs="Arial"/>
          <w:color w:val="1A1A1A"/>
        </w:rPr>
        <w:t>Tes</w:t>
      </w:r>
      <w:proofErr w:type="spellEnd"/>
      <w:r w:rsidRPr="00AE7442">
        <w:rPr>
          <w:rFonts w:ascii="Arial" w:hAnsi="Arial" w:cs="Arial"/>
          <w:color w:val="1A1A1A"/>
        </w:rPr>
        <w:t xml:space="preserve">, x2 en 2 </w:t>
      </w:r>
      <w:proofErr w:type="spellStart"/>
      <w:r w:rsidRPr="00AE7442">
        <w:rPr>
          <w:rFonts w:ascii="Arial" w:hAnsi="Arial" w:cs="Arial"/>
          <w:color w:val="1A1A1A"/>
        </w:rPr>
        <w:t>Tes</w:t>
      </w:r>
      <w:proofErr w:type="spellEnd"/>
      <w:r w:rsidRPr="00AE7442">
        <w:rPr>
          <w:rFonts w:ascii="Arial" w:hAnsi="Arial" w:cs="Arial"/>
          <w:color w:val="1A1A1A"/>
        </w:rPr>
        <w:t xml:space="preserve">, x1 en Col, y una vez en cada carta pastoral, además de x2 en </w:t>
      </w:r>
      <w:proofErr w:type="spellStart"/>
      <w:r w:rsidRPr="00AE7442">
        <w:rPr>
          <w:rFonts w:ascii="Arial" w:hAnsi="Arial" w:cs="Arial"/>
          <w:color w:val="1A1A1A"/>
        </w:rPr>
        <w:t>Heb</w:t>
      </w:r>
      <w:proofErr w:type="spellEnd"/>
      <w:r w:rsidRPr="00AE7442">
        <w:rPr>
          <w:rFonts w:ascii="Arial" w:hAnsi="Arial" w:cs="Arial"/>
          <w:color w:val="1A1A1A"/>
        </w:rPr>
        <w:t xml:space="preserve"> y en </w:t>
      </w:r>
      <w:proofErr w:type="spellStart"/>
      <w:r w:rsidRPr="00AE7442">
        <w:rPr>
          <w:rFonts w:ascii="Arial" w:hAnsi="Arial" w:cs="Arial"/>
          <w:color w:val="1A1A1A"/>
        </w:rPr>
        <w:t>Sgo</w:t>
      </w:r>
      <w:proofErr w:type="spellEnd"/>
      <w:r w:rsidRPr="00AE7442">
        <w:rPr>
          <w:rFonts w:ascii="Arial" w:hAnsi="Arial" w:cs="Arial"/>
          <w:color w:val="1A1A1A"/>
        </w:rPr>
        <w:t xml:space="preserve"> x3 y x1 en 2 Pe). </w:t>
      </w:r>
    </w:p>
    <w:p w14:paraId="33152FF4" w14:textId="77777777" w:rsidR="00BD1778" w:rsidRPr="00AE7442" w:rsidRDefault="00BD1778" w:rsidP="00BD1778">
      <w:pPr>
        <w:widowControl w:val="0"/>
        <w:autoSpaceDE w:val="0"/>
        <w:autoSpaceDN w:val="0"/>
        <w:adjustRightInd w:val="0"/>
        <w:jc w:val="both"/>
        <w:rPr>
          <w:rFonts w:ascii="Arial" w:hAnsi="Arial" w:cs="Arial"/>
          <w:color w:val="1A1A1A"/>
        </w:rPr>
      </w:pPr>
    </w:p>
    <w:p w14:paraId="4EDD741D" w14:textId="77777777" w:rsidR="00BD1778" w:rsidRPr="00AE7442" w:rsidRDefault="00BD1778" w:rsidP="00BD1778">
      <w:pPr>
        <w:widowControl w:val="0"/>
        <w:autoSpaceDE w:val="0"/>
        <w:autoSpaceDN w:val="0"/>
        <w:adjustRightInd w:val="0"/>
        <w:jc w:val="both"/>
        <w:rPr>
          <w:rFonts w:ascii="Arial" w:hAnsi="Arial" w:cs="Arial"/>
          <w:color w:val="1A1A1A"/>
        </w:rPr>
      </w:pPr>
      <w:r w:rsidRPr="00AE7442">
        <w:rPr>
          <w:rFonts w:ascii="Arial" w:hAnsi="Arial" w:cs="Arial"/>
          <w:color w:val="1A1A1A"/>
        </w:rPr>
        <w:t>La constancia permitirá “ganar” (</w:t>
      </w:r>
      <w:proofErr w:type="spellStart"/>
      <w:r w:rsidRPr="00AE7442">
        <w:rPr>
          <w:rFonts w:ascii="Arial" w:hAnsi="Arial" w:cs="Arial"/>
          <w:i/>
          <w:iCs/>
          <w:color w:val="1A1A1A"/>
        </w:rPr>
        <w:t>ktáomai</w:t>
      </w:r>
      <w:proofErr w:type="spellEnd"/>
      <w:r w:rsidRPr="00AE7442">
        <w:rPr>
          <w:rFonts w:ascii="Arial" w:hAnsi="Arial" w:cs="Arial"/>
          <w:color w:val="1A1A1A"/>
        </w:rPr>
        <w:t>) las vidas (</w:t>
      </w:r>
      <w:proofErr w:type="spellStart"/>
      <w:r w:rsidRPr="00AE7442">
        <w:rPr>
          <w:rFonts w:ascii="Arial" w:hAnsi="Arial" w:cs="Arial"/>
          <w:color w:val="1A1A1A"/>
        </w:rPr>
        <w:t>psyjê</w:t>
      </w:r>
      <w:proofErr w:type="spellEnd"/>
      <w:r w:rsidRPr="00AE7442">
        <w:rPr>
          <w:rFonts w:ascii="Arial" w:hAnsi="Arial" w:cs="Arial"/>
          <w:color w:val="1A1A1A"/>
        </w:rPr>
        <w:t xml:space="preserve">). Es interesante que el verbo “ganar” tiene connotaciones económicas, como se ve en otras partes de la obra de Lucas (18,12; </w:t>
      </w:r>
      <w:proofErr w:type="spellStart"/>
      <w:r w:rsidRPr="00AE7442">
        <w:rPr>
          <w:rFonts w:ascii="Arial" w:hAnsi="Arial" w:cs="Arial"/>
          <w:color w:val="1A1A1A"/>
        </w:rPr>
        <w:t>Hch</w:t>
      </w:r>
      <w:proofErr w:type="spellEnd"/>
      <w:r w:rsidRPr="00AE7442">
        <w:rPr>
          <w:rFonts w:ascii="Arial" w:hAnsi="Arial" w:cs="Arial"/>
          <w:color w:val="1A1A1A"/>
        </w:rPr>
        <w:t xml:space="preserve"> 1,18; 8,20; 22,28 [debe destacarse que estas ocasiones son la totalidad de veces que </w:t>
      </w:r>
      <w:proofErr w:type="spellStart"/>
      <w:r w:rsidRPr="00AE7442">
        <w:rPr>
          <w:rFonts w:ascii="Arial" w:hAnsi="Arial" w:cs="Arial"/>
          <w:i/>
          <w:iCs/>
          <w:color w:val="1A1A1A"/>
        </w:rPr>
        <w:t>ktáomai</w:t>
      </w:r>
      <w:proofErr w:type="spellEnd"/>
      <w:r w:rsidRPr="00AE7442">
        <w:rPr>
          <w:rFonts w:ascii="Arial" w:hAnsi="Arial" w:cs="Arial"/>
          <w:color w:val="1A1A1A"/>
        </w:rPr>
        <w:t xml:space="preserve"> se encuentra en </w:t>
      </w:r>
      <w:proofErr w:type="spellStart"/>
      <w:r w:rsidRPr="00AE7442">
        <w:rPr>
          <w:rFonts w:ascii="Arial" w:hAnsi="Arial" w:cs="Arial"/>
          <w:color w:val="1A1A1A"/>
        </w:rPr>
        <w:t>Lc-Hch</w:t>
      </w:r>
      <w:proofErr w:type="spellEnd"/>
      <w:r w:rsidRPr="00AE7442">
        <w:rPr>
          <w:rFonts w:ascii="Arial" w:hAnsi="Arial" w:cs="Arial"/>
          <w:color w:val="1A1A1A"/>
        </w:rPr>
        <w:t>; todas –como se ve- entendidas en sentido económico]. La relación entre la vida y las posesiones es habitual en Lucas 9,24-25; 12,15.33-34; 14,33; 18,29. Lo que Lucas propone es ganar la vida para lo que es necesario estar dispuestos a perderla (9,24; 17,33) que es –precisamente- lo que ocurrirá a los cristianos, pero que en la resistencia darán testimonio.</w:t>
      </w:r>
    </w:p>
    <w:p w14:paraId="20BC5986" w14:textId="77777777" w:rsidR="00BD1778" w:rsidRPr="00AE7442" w:rsidRDefault="00BD1778" w:rsidP="00BD1778">
      <w:pPr>
        <w:widowControl w:val="0"/>
        <w:autoSpaceDE w:val="0"/>
        <w:autoSpaceDN w:val="0"/>
        <w:adjustRightInd w:val="0"/>
        <w:jc w:val="both"/>
        <w:rPr>
          <w:rFonts w:ascii="Arial" w:hAnsi="Arial" w:cs="Arial"/>
          <w:color w:val="1A1A1A"/>
        </w:rPr>
      </w:pPr>
    </w:p>
    <w:p w14:paraId="74C32D1D" w14:textId="77777777" w:rsidR="00BD1778" w:rsidRPr="00AE7442" w:rsidRDefault="00BD1778" w:rsidP="00BD1778">
      <w:pPr>
        <w:widowControl w:val="0"/>
        <w:autoSpaceDE w:val="0"/>
        <w:autoSpaceDN w:val="0"/>
        <w:adjustRightInd w:val="0"/>
        <w:jc w:val="both"/>
        <w:rPr>
          <w:rFonts w:ascii="Arial" w:hAnsi="Arial" w:cs="Arial"/>
          <w:color w:val="1A1A1A"/>
        </w:rPr>
      </w:pPr>
    </w:p>
    <w:p w14:paraId="7EA69DA7" w14:textId="77777777" w:rsidR="00773579" w:rsidRPr="00AE7442" w:rsidRDefault="00BD1778" w:rsidP="00BD1778">
      <w:r w:rsidRPr="00AE7442">
        <w:rPr>
          <w:rFonts w:ascii="Arial" w:hAnsi="Arial" w:cs="Arial"/>
          <w:color w:val="1A1A1A"/>
        </w:rPr>
        <w:t>Foto del recuerdo de los mártires de Acteal (México)</w:t>
      </w:r>
    </w:p>
    <w:sectPr w:rsidR="00773579" w:rsidRPr="00AE7442" w:rsidSect="007127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778"/>
    <w:rsid w:val="0071275F"/>
    <w:rsid w:val="007667E3"/>
    <w:rsid w:val="00773579"/>
    <w:rsid w:val="00AE7442"/>
    <w:rsid w:val="00BD1778"/>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DA6B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1.bp.blogspot.com/-9vNgghG_ZhY/UoIEGbaVufI/AAAAAAAADBA/8ixtCaX543A/s1600/33C.jpg" TargetMode="Externa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2180</Words>
  <Characters>11996</Characters>
  <Application>Microsoft Macintosh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14148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AUGUSTO ELIZALDE PRADA</dc:creator>
  <cp:keywords/>
  <dc:description/>
  <cp:lastModifiedBy>OSCAR AUGUSTO ELIZALDE PRADA</cp:lastModifiedBy>
  <cp:revision>2</cp:revision>
  <dcterms:created xsi:type="dcterms:W3CDTF">2016-11-09T17:13:00Z</dcterms:created>
  <dcterms:modified xsi:type="dcterms:W3CDTF">2016-11-10T13:12:00Z</dcterms:modified>
</cp:coreProperties>
</file>