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000" w:type="dxa"/>
        <w:shd w:val="clear" w:color="auto" w:fill="FFFCF5"/>
        <w:tblCellMar>
          <w:left w:w="0" w:type="dxa"/>
          <w:right w:w="0" w:type="dxa"/>
        </w:tblCellMar>
        <w:tblLook w:val="04A0" w:firstRow="1" w:lastRow="0" w:firstColumn="1" w:lastColumn="0" w:noHBand="0" w:noVBand="1"/>
      </w:tblPr>
      <w:tblGrid>
        <w:gridCol w:w="8162"/>
      </w:tblGrid>
      <w:tr w:rsidR="00C810EB" w:rsidRPr="00C810EB" w14:paraId="009D2E8C" w14:textId="77777777" w:rsidTr="00C810EB">
        <w:tc>
          <w:tcPr>
            <w:tcW w:w="0" w:type="auto"/>
            <w:shd w:val="clear" w:color="auto" w:fill="FFFCF5"/>
            <w:hideMark/>
          </w:tcPr>
          <w:p w14:paraId="4FD5C939" w14:textId="77777777" w:rsidR="00C810EB" w:rsidRDefault="00C810EB"/>
          <w:tbl>
            <w:tblPr>
              <w:tblW w:w="6000" w:type="dxa"/>
              <w:jc w:val="center"/>
              <w:shd w:val="clear" w:color="auto" w:fill="FFFCF5"/>
              <w:tblCellMar>
                <w:left w:w="0" w:type="dxa"/>
                <w:right w:w="0" w:type="dxa"/>
              </w:tblCellMar>
              <w:tblLook w:val="04A0" w:firstRow="1" w:lastRow="0" w:firstColumn="1" w:lastColumn="0" w:noHBand="0" w:noVBand="1"/>
            </w:tblPr>
            <w:tblGrid>
              <w:gridCol w:w="6000"/>
            </w:tblGrid>
            <w:tr w:rsidR="00C810EB" w:rsidRPr="00C810EB" w14:paraId="1866C3E6" w14:textId="77777777">
              <w:trPr>
                <w:jc w:val="center"/>
              </w:trPr>
              <w:tc>
                <w:tcPr>
                  <w:tcW w:w="0" w:type="auto"/>
                  <w:shd w:val="clear" w:color="auto" w:fill="FFFCF5"/>
                  <w:tcMar>
                    <w:top w:w="90" w:type="dxa"/>
                    <w:left w:w="0" w:type="dxa"/>
                    <w:bottom w:w="0" w:type="dxa"/>
                    <w:right w:w="0" w:type="dxa"/>
                  </w:tcMar>
                  <w:hideMark/>
                </w:tcPr>
                <w:p w14:paraId="57955EE8" w14:textId="77777777" w:rsidR="00C810EB" w:rsidRPr="00C810EB" w:rsidRDefault="00C810EB" w:rsidP="00C810EB">
                  <w:pPr>
                    <w:jc w:val="left"/>
                    <w:rPr>
                      <w:rFonts w:ascii="Arial" w:eastAsia="Times New Roman" w:hAnsi="Arial" w:cs="Arial"/>
                      <w:sz w:val="24"/>
                      <w:szCs w:val="24"/>
                      <w:lang w:eastAsia="es-UY"/>
                    </w:rPr>
                  </w:pPr>
                </w:p>
              </w:tc>
            </w:tr>
          </w:tbl>
          <w:p w14:paraId="39760B52" w14:textId="77777777" w:rsidR="00C810EB" w:rsidRPr="00C810EB" w:rsidRDefault="00C810EB" w:rsidP="00C810EB">
            <w:pPr>
              <w:jc w:val="center"/>
              <w:rPr>
                <w:rFonts w:ascii="Arial" w:eastAsia="Times New Roman" w:hAnsi="Arial" w:cs="Arial"/>
                <w:color w:val="000000"/>
                <w:sz w:val="16"/>
                <w:szCs w:val="16"/>
                <w:lang w:eastAsia="es-UY"/>
              </w:rPr>
            </w:pPr>
          </w:p>
        </w:tc>
      </w:tr>
      <w:tr w:rsidR="00C810EB" w:rsidRPr="00C810EB" w14:paraId="35B4911F" w14:textId="77777777" w:rsidTr="00C810EB">
        <w:tc>
          <w:tcPr>
            <w:tcW w:w="0" w:type="auto"/>
            <w:shd w:val="clear" w:color="auto" w:fill="FFFCF5"/>
            <w:hideMark/>
          </w:tcPr>
          <w:tbl>
            <w:tblPr>
              <w:tblW w:w="6000" w:type="dxa"/>
              <w:jc w:val="center"/>
              <w:shd w:val="clear" w:color="auto" w:fill="FFFCF5"/>
              <w:tblCellMar>
                <w:left w:w="0" w:type="dxa"/>
                <w:right w:w="0" w:type="dxa"/>
              </w:tblCellMar>
              <w:tblLook w:val="04A0" w:firstRow="1" w:lastRow="0" w:firstColumn="1" w:lastColumn="0" w:noHBand="0" w:noVBand="1"/>
            </w:tblPr>
            <w:tblGrid>
              <w:gridCol w:w="8162"/>
            </w:tblGrid>
            <w:tr w:rsidR="00C810EB" w:rsidRPr="00C810EB" w14:paraId="13A312A2" w14:textId="77777777">
              <w:trPr>
                <w:jc w:val="center"/>
              </w:trPr>
              <w:tc>
                <w:tcPr>
                  <w:tcW w:w="0" w:type="auto"/>
                  <w:shd w:val="clear" w:color="auto" w:fill="FFFCF5"/>
                  <w:hideMark/>
                </w:tcPr>
                <w:tbl>
                  <w:tblPr>
                    <w:tblW w:w="5000" w:type="pct"/>
                    <w:tblCellMar>
                      <w:left w:w="0" w:type="dxa"/>
                      <w:right w:w="0" w:type="dxa"/>
                    </w:tblCellMar>
                    <w:tblLook w:val="04A0" w:firstRow="1" w:lastRow="0" w:firstColumn="1" w:lastColumn="0" w:noHBand="0" w:noVBand="1"/>
                  </w:tblPr>
                  <w:tblGrid>
                    <w:gridCol w:w="8162"/>
                  </w:tblGrid>
                  <w:tr w:rsidR="00C810EB" w:rsidRPr="00C810EB" w14:paraId="35CB5AFF" w14:textId="77777777">
                    <w:tc>
                      <w:tcPr>
                        <w:tcW w:w="0" w:type="auto"/>
                        <w:tcMar>
                          <w:top w:w="90" w:type="dxa"/>
                          <w:left w:w="90" w:type="dxa"/>
                          <w:bottom w:w="90" w:type="dxa"/>
                          <w:right w:w="90" w:type="dxa"/>
                        </w:tcMar>
                        <w:hideMark/>
                      </w:tcPr>
                      <w:tbl>
                        <w:tblPr>
                          <w:tblpPr w:leftFromText="30" w:rightFromText="30" w:vertAnchor="text"/>
                          <w:tblW w:w="5000" w:type="pct"/>
                          <w:tblCellMar>
                            <w:left w:w="0" w:type="dxa"/>
                            <w:right w:w="0" w:type="dxa"/>
                          </w:tblCellMar>
                          <w:tblLook w:val="04A0" w:firstRow="1" w:lastRow="0" w:firstColumn="1" w:lastColumn="0" w:noHBand="0" w:noVBand="1"/>
                        </w:tblPr>
                        <w:tblGrid>
                          <w:gridCol w:w="7982"/>
                        </w:tblGrid>
                        <w:tr w:rsidR="00C810EB" w:rsidRPr="00C810EB" w14:paraId="4CA05EE6" w14:textId="77777777">
                          <w:tc>
                            <w:tcPr>
                              <w:tcW w:w="0" w:type="auto"/>
                              <w:tcMar>
                                <w:top w:w="0" w:type="dxa"/>
                                <w:left w:w="90" w:type="dxa"/>
                                <w:bottom w:w="0" w:type="dxa"/>
                                <w:right w:w="90" w:type="dxa"/>
                              </w:tcMar>
                              <w:hideMark/>
                            </w:tcPr>
                            <w:p w14:paraId="290F5799" w14:textId="77777777" w:rsidR="00C810EB" w:rsidRPr="00C810EB" w:rsidRDefault="004F1DAE" w:rsidP="00C810EB">
                              <w:pPr>
                                <w:jc w:val="left"/>
                                <w:rPr>
                                  <w:rFonts w:eastAsia="Times New Roman" w:cstheme="minorHAnsi"/>
                                  <w:sz w:val="24"/>
                                  <w:szCs w:val="24"/>
                                  <w:lang w:eastAsia="es-UY"/>
                                </w:rPr>
                              </w:pPr>
                              <w:hyperlink r:id="rId4" w:tgtFrame="_blank" w:history="1">
                                <w:r w:rsidR="00C810EB" w:rsidRPr="00C810EB">
                                  <w:rPr>
                                    <w:rFonts w:eastAsia="Times New Roman" w:cstheme="minorHAnsi"/>
                                    <w:noProof/>
                                    <w:sz w:val="24"/>
                                    <w:szCs w:val="24"/>
                                    <w:lang w:val="es-ES_tradnl" w:eastAsia="es-ES_tradnl"/>
                                  </w:rPr>
                                  <w:drawing>
                                    <wp:anchor distT="0" distB="0" distL="0" distR="0" simplePos="0" relativeHeight="251658240" behindDoc="0" locked="0" layoutInCell="1" allowOverlap="0" wp14:anchorId="3D7AA0AE" wp14:editId="247319A4">
                                      <wp:simplePos x="0" y="0"/>
                                      <wp:positionH relativeFrom="column">
                                        <wp:align>left</wp:align>
                                      </wp:positionH>
                                      <wp:positionV relativeFrom="line">
                                        <wp:posOffset>0</wp:posOffset>
                                      </wp:positionV>
                                      <wp:extent cx="3810000" cy="781050"/>
                                      <wp:effectExtent l="19050" t="0" r="0" b="0"/>
                                      <wp:wrapSquare wrapText="bothSides"/>
                                      <wp:docPr id="1" name="Imagen 2" descr="CEPR">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PR">
                                                <a:hlinkClick r:id="rId4" tgtFrame="&quot;_blank&quot;"/>
                                              </pic:cNvPr>
                                              <pic:cNvPicPr>
                                                <a:picLocks noChangeAspect="1" noChangeArrowheads="1"/>
                                              </pic:cNvPicPr>
                                            </pic:nvPicPr>
                                            <pic:blipFill>
                                              <a:blip r:embed="rId5"/>
                                              <a:srcRect/>
                                              <a:stretch>
                                                <a:fillRect/>
                                              </a:stretch>
                                            </pic:blipFill>
                                            <pic:spPr bwMode="auto">
                                              <a:xfrm>
                                                <a:off x="0" y="0"/>
                                                <a:ext cx="3810000" cy="781050"/>
                                              </a:xfrm>
                                              <a:prstGeom prst="rect">
                                                <a:avLst/>
                                              </a:prstGeom>
                                              <a:noFill/>
                                              <a:ln w="9525">
                                                <a:noFill/>
                                                <a:miter lim="800000"/>
                                                <a:headEnd/>
                                                <a:tailEnd/>
                                              </a:ln>
                                            </pic:spPr>
                                          </pic:pic>
                                        </a:graphicData>
                                      </a:graphic>
                                    </wp:anchor>
                                  </w:drawing>
                                </w:r>
                              </w:hyperlink>
                            </w:p>
                          </w:tc>
                        </w:tr>
                      </w:tbl>
                      <w:p w14:paraId="3F658C7D" w14:textId="77777777" w:rsidR="00C810EB" w:rsidRPr="00C810EB" w:rsidRDefault="00C810EB" w:rsidP="00C810EB">
                        <w:pPr>
                          <w:jc w:val="left"/>
                          <w:rPr>
                            <w:rFonts w:eastAsia="Times New Roman" w:cstheme="minorHAnsi"/>
                            <w:sz w:val="24"/>
                            <w:szCs w:val="24"/>
                            <w:lang w:eastAsia="es-UY"/>
                          </w:rPr>
                        </w:pPr>
                      </w:p>
                    </w:tc>
                  </w:tr>
                </w:tbl>
                <w:p w14:paraId="556EBC55" w14:textId="77777777" w:rsidR="00C810EB" w:rsidRPr="00C810EB" w:rsidRDefault="00C810EB" w:rsidP="00C810EB">
                  <w:pPr>
                    <w:jc w:val="left"/>
                    <w:rPr>
                      <w:rFonts w:eastAsia="Times New Roman" w:cstheme="minorHAnsi"/>
                      <w:vanish/>
                      <w:sz w:val="24"/>
                      <w:szCs w:val="24"/>
                      <w:lang w:eastAsia="es-UY"/>
                    </w:rPr>
                  </w:pPr>
                </w:p>
                <w:tbl>
                  <w:tblPr>
                    <w:tblW w:w="5000" w:type="pct"/>
                    <w:tblCellMar>
                      <w:left w:w="0" w:type="dxa"/>
                      <w:right w:w="0" w:type="dxa"/>
                    </w:tblCellMar>
                    <w:tblLook w:val="04A0" w:firstRow="1" w:lastRow="0" w:firstColumn="1" w:lastColumn="0" w:noHBand="0" w:noVBand="1"/>
                  </w:tblPr>
                  <w:tblGrid>
                    <w:gridCol w:w="8162"/>
                  </w:tblGrid>
                  <w:tr w:rsidR="00C810EB" w:rsidRPr="00C810EB" w14:paraId="344ACD9C" w14:textId="77777777">
                    <w:tc>
                      <w:tcPr>
                        <w:tcW w:w="0" w:type="auto"/>
                        <w:hideMark/>
                      </w:tcPr>
                      <w:tbl>
                        <w:tblPr>
                          <w:tblpPr w:leftFromText="30" w:rightFromText="30" w:vertAnchor="text"/>
                          <w:tblW w:w="8162" w:type="dxa"/>
                          <w:tblCellMar>
                            <w:left w:w="0" w:type="dxa"/>
                            <w:right w:w="0" w:type="dxa"/>
                          </w:tblCellMar>
                          <w:tblLook w:val="04A0" w:firstRow="1" w:lastRow="0" w:firstColumn="1" w:lastColumn="0" w:noHBand="0" w:noVBand="1"/>
                        </w:tblPr>
                        <w:tblGrid>
                          <w:gridCol w:w="8162"/>
                        </w:tblGrid>
                        <w:tr w:rsidR="00C810EB" w:rsidRPr="00C810EB" w14:paraId="43E229B2" w14:textId="77777777" w:rsidTr="00C810EB">
                          <w:trPr>
                            <w:trHeight w:val="1707"/>
                          </w:trPr>
                          <w:tc>
                            <w:tcPr>
                              <w:tcW w:w="0" w:type="auto"/>
                              <w:tcMar>
                                <w:top w:w="90" w:type="dxa"/>
                                <w:left w:w="180" w:type="dxa"/>
                                <w:bottom w:w="90" w:type="dxa"/>
                                <w:right w:w="180" w:type="dxa"/>
                              </w:tcMar>
                              <w:vAlign w:val="center"/>
                              <w:hideMark/>
                            </w:tcPr>
                            <w:tbl>
                              <w:tblPr>
                                <w:tblW w:w="4603" w:type="pct"/>
                                <w:tblInd w:w="50" w:type="dxa"/>
                                <w:shd w:val="clear" w:color="auto" w:fill="E9E9E9"/>
                                <w:tblCellMar>
                                  <w:top w:w="180" w:type="dxa"/>
                                  <w:left w:w="180" w:type="dxa"/>
                                  <w:bottom w:w="180" w:type="dxa"/>
                                  <w:right w:w="180" w:type="dxa"/>
                                </w:tblCellMar>
                                <w:tblLook w:val="04A0" w:firstRow="1" w:lastRow="0" w:firstColumn="1" w:lastColumn="0" w:noHBand="0" w:noVBand="1"/>
                              </w:tblPr>
                              <w:tblGrid>
                                <w:gridCol w:w="7183"/>
                              </w:tblGrid>
                              <w:tr w:rsidR="00C810EB" w:rsidRPr="00C810EB" w14:paraId="7D62A75A" w14:textId="77777777" w:rsidTr="00C810EB">
                                <w:trPr>
                                  <w:trHeight w:val="1002"/>
                                </w:trPr>
                                <w:tc>
                                  <w:tcPr>
                                    <w:tcW w:w="0" w:type="auto"/>
                                    <w:shd w:val="clear" w:color="auto" w:fill="E9E9E9"/>
                                    <w:hideMark/>
                                  </w:tcPr>
                                  <w:p w14:paraId="143BDE9A" w14:textId="77777777" w:rsidR="00C810EB" w:rsidRPr="00C810EB" w:rsidRDefault="004F1DAE" w:rsidP="00C810EB">
                                    <w:pPr>
                                      <w:spacing w:line="320" w:lineRule="atLeast"/>
                                      <w:jc w:val="center"/>
                                      <w:outlineLvl w:val="0"/>
                                      <w:rPr>
                                        <w:rFonts w:eastAsia="Times New Roman" w:cstheme="minorHAnsi"/>
                                        <w:b/>
                                        <w:bCs/>
                                        <w:color w:val="5A5050"/>
                                        <w:spacing w:val="-10"/>
                                        <w:kern w:val="36"/>
                                        <w:sz w:val="32"/>
                                        <w:szCs w:val="32"/>
                                        <w:lang w:eastAsia="es-UY"/>
                                      </w:rPr>
                                    </w:pPr>
                                    <w:hyperlink r:id="rId6" w:tgtFrame="_blank" w:history="1">
                                      <w:r w:rsidR="00C810EB" w:rsidRPr="00C810EB">
                                        <w:rPr>
                                          <w:rFonts w:eastAsia="Times New Roman" w:cstheme="minorHAnsi"/>
                                          <w:b/>
                                          <w:bCs/>
                                          <w:color w:val="5091B0"/>
                                          <w:spacing w:val="-10"/>
                                          <w:kern w:val="36"/>
                                          <w:sz w:val="32"/>
                                          <w:szCs w:val="32"/>
                                          <w:u w:val="single"/>
                                          <w:lang w:eastAsia="es-UY"/>
                                        </w:rPr>
                                        <w:t>Mediación del Vaticano en Venezuela cambia ecuación política para Washington</w:t>
                                      </w:r>
                                    </w:hyperlink>
                                  </w:p>
                                  <w:p w14:paraId="57D765A1" w14:textId="77777777" w:rsidR="00C810EB" w:rsidRPr="00C810EB" w:rsidRDefault="00C810EB" w:rsidP="00C810EB">
                                    <w:pPr>
                                      <w:spacing w:line="270" w:lineRule="atLeast"/>
                                      <w:jc w:val="left"/>
                                      <w:outlineLvl w:val="2"/>
                                      <w:rPr>
                                        <w:rFonts w:eastAsia="Times New Roman" w:cstheme="minorHAnsi"/>
                                        <w:b/>
                                        <w:bCs/>
                                        <w:color w:val="5A5050"/>
                                        <w:spacing w:val="-10"/>
                                        <w:sz w:val="24"/>
                                        <w:szCs w:val="24"/>
                                        <w:lang w:eastAsia="es-UY"/>
                                      </w:rPr>
                                    </w:pPr>
                                    <w:r w:rsidRPr="00C810EB">
                                      <w:rPr>
                                        <w:rFonts w:eastAsia="Times New Roman" w:cstheme="minorHAnsi"/>
                                        <w:b/>
                                        <w:bCs/>
                                        <w:color w:val="5A5050"/>
                                        <w:spacing w:val="-10"/>
                                        <w:sz w:val="24"/>
                                        <w:szCs w:val="24"/>
                                        <w:lang w:eastAsia="es-UY"/>
                                      </w:rPr>
                                      <w:br/>
                                      <w:t>por Mark Weisbrot</w:t>
                                    </w:r>
                                  </w:p>
                                </w:tc>
                              </w:tr>
                            </w:tbl>
                            <w:p w14:paraId="4CBB2E0B" w14:textId="77777777" w:rsidR="00C810EB" w:rsidRPr="00C810EB" w:rsidRDefault="00C810EB" w:rsidP="00C810EB">
                              <w:pPr>
                                <w:jc w:val="left"/>
                                <w:rPr>
                                  <w:rFonts w:eastAsia="Times New Roman" w:cstheme="minorHAnsi"/>
                                  <w:sz w:val="24"/>
                                  <w:szCs w:val="24"/>
                                  <w:lang w:eastAsia="es-UY"/>
                                </w:rPr>
                              </w:pPr>
                            </w:p>
                          </w:tc>
                        </w:tr>
                      </w:tbl>
                      <w:p w14:paraId="5666795D" w14:textId="77777777" w:rsidR="00C810EB" w:rsidRPr="00C810EB" w:rsidRDefault="00C810EB" w:rsidP="00C810EB">
                        <w:pPr>
                          <w:jc w:val="left"/>
                          <w:rPr>
                            <w:rFonts w:eastAsia="Times New Roman" w:cstheme="minorHAnsi"/>
                            <w:sz w:val="24"/>
                            <w:szCs w:val="24"/>
                            <w:lang w:eastAsia="es-UY"/>
                          </w:rPr>
                        </w:pPr>
                      </w:p>
                    </w:tc>
                  </w:tr>
                </w:tbl>
                <w:p w14:paraId="34BEB7EF" w14:textId="77777777" w:rsidR="00C810EB" w:rsidRPr="00C810EB" w:rsidRDefault="00C810EB" w:rsidP="00C810EB">
                  <w:pPr>
                    <w:jc w:val="left"/>
                    <w:rPr>
                      <w:rFonts w:eastAsia="Times New Roman" w:cstheme="minorHAnsi"/>
                      <w:sz w:val="24"/>
                      <w:szCs w:val="24"/>
                      <w:lang w:eastAsia="es-UY"/>
                    </w:rPr>
                  </w:pPr>
                </w:p>
              </w:tc>
            </w:tr>
          </w:tbl>
          <w:p w14:paraId="720E9D47" w14:textId="77777777" w:rsidR="00C810EB" w:rsidRPr="00C810EB" w:rsidRDefault="00C810EB" w:rsidP="00C810EB">
            <w:pPr>
              <w:jc w:val="center"/>
              <w:rPr>
                <w:rFonts w:eastAsia="Times New Roman" w:cstheme="minorHAnsi"/>
                <w:color w:val="000000"/>
                <w:sz w:val="24"/>
                <w:szCs w:val="24"/>
                <w:lang w:eastAsia="es-UY"/>
              </w:rPr>
            </w:pPr>
          </w:p>
        </w:tc>
      </w:tr>
      <w:tr w:rsidR="00C810EB" w:rsidRPr="00C810EB" w14:paraId="5181A59F" w14:textId="77777777" w:rsidTr="00C810EB">
        <w:tc>
          <w:tcPr>
            <w:tcW w:w="0" w:type="auto"/>
            <w:shd w:val="clear" w:color="auto" w:fill="FFFCF5"/>
            <w:hideMark/>
          </w:tcPr>
          <w:tbl>
            <w:tblPr>
              <w:tblW w:w="6000" w:type="dxa"/>
              <w:jc w:val="center"/>
              <w:shd w:val="clear" w:color="auto" w:fill="FFFCF5"/>
              <w:tblCellMar>
                <w:left w:w="0" w:type="dxa"/>
                <w:right w:w="0" w:type="dxa"/>
              </w:tblCellMar>
              <w:tblLook w:val="04A0" w:firstRow="1" w:lastRow="0" w:firstColumn="1" w:lastColumn="0" w:noHBand="0" w:noVBand="1"/>
            </w:tblPr>
            <w:tblGrid>
              <w:gridCol w:w="6000"/>
            </w:tblGrid>
            <w:tr w:rsidR="00C810EB" w:rsidRPr="00C810EB" w14:paraId="6968E233" w14:textId="77777777">
              <w:trPr>
                <w:jc w:val="center"/>
              </w:trPr>
              <w:tc>
                <w:tcPr>
                  <w:tcW w:w="0" w:type="auto"/>
                  <w:shd w:val="clear" w:color="auto" w:fill="FFFCF5"/>
                  <w:hideMark/>
                </w:tcPr>
                <w:tbl>
                  <w:tblPr>
                    <w:tblW w:w="5000" w:type="pct"/>
                    <w:tblCellMar>
                      <w:left w:w="0" w:type="dxa"/>
                      <w:right w:w="0" w:type="dxa"/>
                    </w:tblCellMar>
                    <w:tblLook w:val="04A0" w:firstRow="1" w:lastRow="0" w:firstColumn="1" w:lastColumn="0" w:noHBand="0" w:noVBand="1"/>
                  </w:tblPr>
                  <w:tblGrid>
                    <w:gridCol w:w="6000"/>
                  </w:tblGrid>
                  <w:tr w:rsidR="00C810EB" w:rsidRPr="00C810EB" w14:paraId="4059C701" w14:textId="77777777">
                    <w:tc>
                      <w:tcPr>
                        <w:tcW w:w="0" w:type="auto"/>
                        <w:tcMar>
                          <w:top w:w="90" w:type="dxa"/>
                          <w:left w:w="0" w:type="dxa"/>
                          <w:bottom w:w="0" w:type="dxa"/>
                          <w:right w:w="0" w:type="dxa"/>
                        </w:tcMar>
                        <w:hideMark/>
                      </w:tcPr>
                      <w:tbl>
                        <w:tblPr>
                          <w:tblpPr w:leftFromText="30" w:rightFromText="30" w:vertAnchor="text"/>
                          <w:tblW w:w="5000" w:type="pct"/>
                          <w:tblCellMar>
                            <w:left w:w="0" w:type="dxa"/>
                            <w:right w:w="0" w:type="dxa"/>
                          </w:tblCellMar>
                          <w:tblLook w:val="04A0" w:firstRow="1" w:lastRow="0" w:firstColumn="1" w:lastColumn="0" w:noHBand="0" w:noVBand="1"/>
                        </w:tblPr>
                        <w:tblGrid>
                          <w:gridCol w:w="6000"/>
                        </w:tblGrid>
                        <w:tr w:rsidR="00C810EB" w:rsidRPr="00C810EB" w14:paraId="13693E90" w14:textId="77777777">
                          <w:tc>
                            <w:tcPr>
                              <w:tcW w:w="0" w:type="auto"/>
                              <w:tcMar>
                                <w:top w:w="0" w:type="dxa"/>
                                <w:left w:w="180" w:type="dxa"/>
                                <w:bottom w:w="90" w:type="dxa"/>
                                <w:right w:w="180" w:type="dxa"/>
                              </w:tcMar>
                              <w:hideMark/>
                            </w:tcPr>
                            <w:p w14:paraId="6B30347E" w14:textId="77777777" w:rsidR="00C810EB" w:rsidRPr="00C810EB" w:rsidRDefault="00C810EB" w:rsidP="00C810EB">
                              <w:pPr>
                                <w:spacing w:before="240" w:after="240" w:line="210" w:lineRule="atLeast"/>
                                <w:jc w:val="left"/>
                                <w:rPr>
                                  <w:rFonts w:eastAsia="Times New Roman" w:cstheme="minorHAnsi"/>
                                  <w:color w:val="5A5050"/>
                                  <w:sz w:val="24"/>
                                  <w:szCs w:val="24"/>
                                  <w:lang w:eastAsia="es-UY"/>
                                </w:rPr>
                              </w:pPr>
                              <w:r w:rsidRPr="00C810EB">
                                <w:rPr>
                                  <w:rFonts w:eastAsia="Times New Roman" w:cstheme="minorHAnsi"/>
                                  <w:i/>
                                  <w:iCs/>
                                  <w:color w:val="5A5050"/>
                                  <w:sz w:val="24"/>
                                  <w:szCs w:val="24"/>
                                  <w:lang w:eastAsia="es-UY"/>
                                </w:rPr>
                                <w:t>Este artículo fue publicado por </w:t>
                              </w:r>
                              <w:hyperlink r:id="rId7" w:tgtFrame="_blank" w:history="1">
                                <w:r w:rsidRPr="00C810EB">
                                  <w:rPr>
                                    <w:rFonts w:eastAsia="Times New Roman" w:cstheme="minorHAnsi"/>
                                    <w:i/>
                                    <w:iCs/>
                                    <w:color w:val="5091B0"/>
                                    <w:sz w:val="24"/>
                                    <w:szCs w:val="24"/>
                                    <w:u w:val="single"/>
                                    <w:lang w:eastAsia="es-UY"/>
                                  </w:rPr>
                                  <w:t>Últimas Noticias</w:t>
                                </w:r>
                              </w:hyperlink>
                              <w:r w:rsidRPr="00C810EB">
                                <w:rPr>
                                  <w:rFonts w:eastAsia="Times New Roman" w:cstheme="minorHAnsi"/>
                                  <w:i/>
                                  <w:iCs/>
                                  <w:color w:val="5A5050"/>
                                  <w:sz w:val="24"/>
                                  <w:szCs w:val="24"/>
                                  <w:lang w:eastAsia="es-UY"/>
                                </w:rPr>
                                <w:t> el 6 de noviembre de 2016. Una versión de este artículo fue publicada por en inglés por </w:t>
                              </w:r>
                              <w:hyperlink r:id="rId8" w:tgtFrame="_blank" w:history="1">
                                <w:r w:rsidRPr="00C810EB">
                                  <w:rPr>
                                    <w:rFonts w:eastAsia="Times New Roman" w:cstheme="minorHAnsi"/>
                                    <w:i/>
                                    <w:iCs/>
                                    <w:color w:val="5091B0"/>
                                    <w:sz w:val="24"/>
                                    <w:szCs w:val="24"/>
                                    <w:u w:val="single"/>
                                    <w:lang w:eastAsia="es-UY"/>
                                  </w:rPr>
                                  <w:t>The Hill</w:t>
                                </w:r>
                              </w:hyperlink>
                              <w:r w:rsidRPr="00C810EB">
                                <w:rPr>
                                  <w:rFonts w:eastAsia="Times New Roman" w:cstheme="minorHAnsi"/>
                                  <w:i/>
                                  <w:iCs/>
                                  <w:color w:val="5A5050"/>
                                  <w:sz w:val="24"/>
                                  <w:szCs w:val="24"/>
                                  <w:lang w:eastAsia="es-UY"/>
                                </w:rPr>
                                <w:t> el 6 denoviembre </w:t>
                              </w:r>
                              <w:r w:rsidRPr="00C810EB">
                                <w:rPr>
                                  <w:rFonts w:eastAsia="Times New Roman" w:cstheme="minorHAnsi"/>
                                  <w:color w:val="5A5050"/>
                                  <w:sz w:val="24"/>
                                  <w:szCs w:val="24"/>
                                  <w:lang w:eastAsia="es-UY"/>
                                </w:rPr>
                                <w:t>de 2016. Si el texto a continuación aparece distorsionado, por favor pulse aquí para una versión sin errores de formato. Para ver la versión original en inglés, por favor pulse aquí. Si desea publicar este artículo, por favor infórmele a CEPR respondiendo a este mensaje. Si este correo electrónico fue enviado a usted por un tercero, </w:t>
                              </w:r>
                              <w:hyperlink r:id="rId9" w:tgtFrame="_blank" w:history="1">
                                <w:r w:rsidRPr="00C810EB">
                                  <w:rPr>
                                    <w:rFonts w:eastAsia="Times New Roman" w:cstheme="minorHAnsi"/>
                                    <w:i/>
                                    <w:iCs/>
                                    <w:color w:val="5091B0"/>
                                    <w:sz w:val="24"/>
                                    <w:szCs w:val="24"/>
                                    <w:u w:val="single"/>
                                    <w:lang w:eastAsia="es-UY"/>
                                  </w:rPr>
                                  <w:t>suscríbase</w:t>
                                </w:r>
                              </w:hyperlink>
                              <w:r w:rsidRPr="00C810EB">
                                <w:rPr>
                                  <w:rFonts w:eastAsia="Times New Roman" w:cstheme="minorHAnsi"/>
                                  <w:i/>
                                  <w:iCs/>
                                  <w:color w:val="5A5050"/>
                                  <w:sz w:val="24"/>
                                  <w:szCs w:val="24"/>
                                  <w:lang w:eastAsia="es-UY"/>
                                </w:rPr>
                                <w:t> a las listas de correo electrónico de CEPR.</w:t>
                              </w:r>
                            </w:p>
                            <w:p w14:paraId="335AA4A2" w14:textId="77777777" w:rsidR="00C810EB" w:rsidRPr="00C810EB" w:rsidRDefault="004F1DAE" w:rsidP="00C810EB">
                              <w:pPr>
                                <w:spacing w:line="210" w:lineRule="atLeast"/>
                                <w:jc w:val="left"/>
                                <w:rPr>
                                  <w:rFonts w:eastAsia="Times New Roman" w:cstheme="minorHAnsi"/>
                                  <w:color w:val="5A5050"/>
                                  <w:sz w:val="24"/>
                                  <w:szCs w:val="24"/>
                                  <w:lang w:eastAsia="es-UY"/>
                                </w:rPr>
                              </w:pPr>
                              <w:r>
                                <w:rPr>
                                  <w:rFonts w:eastAsia="Times New Roman" w:cstheme="minorHAnsi"/>
                                  <w:color w:val="5A5050"/>
                                  <w:sz w:val="24"/>
                                  <w:szCs w:val="24"/>
                                  <w:lang w:eastAsia="es-UY"/>
                                </w:rPr>
                                <w:pict w14:anchorId="6EAB67AA">
                                  <v:rect id="_x0000_i1025" style="width:0;height:1.5pt" o:hralign="center" o:hrstd="t" o:hr="t" fillcolor="#a0a0a0" stroked="f"/>
                                </w:pict>
                              </w:r>
                            </w:p>
                            <w:p w14:paraId="376AB331" w14:textId="77777777" w:rsidR="00C810EB" w:rsidRPr="00C810EB" w:rsidRDefault="00C810EB" w:rsidP="00C810EB">
                              <w:pPr>
                                <w:spacing w:before="240" w:after="240" w:line="210" w:lineRule="atLeast"/>
                                <w:jc w:val="left"/>
                                <w:rPr>
                                  <w:rFonts w:eastAsia="Times New Roman" w:cstheme="minorHAnsi"/>
                                  <w:color w:val="5A5050"/>
                                  <w:sz w:val="24"/>
                                  <w:szCs w:val="24"/>
                                  <w:lang w:eastAsia="es-UY"/>
                                </w:rPr>
                              </w:pPr>
                              <w:r w:rsidRPr="00C810EB">
                                <w:rPr>
                                  <w:rFonts w:eastAsia="Times New Roman" w:cstheme="minorHAnsi"/>
                                  <w:color w:val="5A5050"/>
                                  <w:sz w:val="24"/>
                                  <w:szCs w:val="24"/>
                                  <w:lang w:eastAsia="es-UY"/>
                                </w:rPr>
                                <w:t>La incorporación del Vaticano al proceso de diálogo en Venezuela plantea un reto inhabituala la política de Estados Unidos en Venezuela y en la región. El</w:t>
                              </w:r>
                              <w:r w:rsidR="004F1DAE">
                                <w:rPr>
                                  <w:rFonts w:eastAsia="Times New Roman" w:cstheme="minorHAnsi"/>
                                  <w:color w:val="5A5050"/>
                                  <w:sz w:val="24"/>
                                  <w:szCs w:val="24"/>
                                  <w:lang w:eastAsia="es-UY"/>
                                </w:rPr>
                                <w:t xml:space="preserve"> </w:t>
                              </w:r>
                              <w:bookmarkStart w:id="0" w:name="_GoBack"/>
                              <w:bookmarkEnd w:id="0"/>
                              <w:r w:rsidRPr="00C810EB">
                                <w:rPr>
                                  <w:rFonts w:eastAsia="Times New Roman" w:cstheme="minorHAnsi"/>
                                  <w:color w:val="5A5050"/>
                                  <w:sz w:val="24"/>
                                  <w:szCs w:val="24"/>
                                  <w:lang w:eastAsia="es-UY"/>
                                </w:rPr>
                                <w:t>domingo 30 de octubre, representantes de tres de los cuatro principales partidos opositotes y otros líderes de la oposición se reunieron con el gobierno, con la presencia de mediadores del Vaticano y de la UNASUR (la Unión de Naciones Suramericanas), lo cual ha dado lugar a ciertos avances. El gobierno liberó a cuatro personas consideradas por la oposición como presos políticos, y por su parte la oposición suspendió un juicio político contra el presidente Maduro y una demostración que la mayoría de los observadores pensaba que podría correr con un alto riesgo de violencia.</w:t>
                              </w:r>
                              <w:r w:rsidRPr="00C810EB">
                                <w:rPr>
                                  <w:rFonts w:eastAsia="Times New Roman" w:cstheme="minorHAnsi"/>
                                  <w:color w:val="5A5050"/>
                                  <w:sz w:val="24"/>
                                  <w:szCs w:val="24"/>
                                  <w:lang w:eastAsia="es-UY"/>
                                </w:rPr>
                                <w:br/>
                              </w:r>
                              <w:r w:rsidRPr="00C810EB">
                                <w:rPr>
                                  <w:rFonts w:eastAsia="Times New Roman" w:cstheme="minorHAnsi"/>
                                  <w:color w:val="5A5050"/>
                                  <w:sz w:val="24"/>
                                  <w:szCs w:val="24"/>
                                  <w:lang w:eastAsia="es-UY"/>
                                </w:rPr>
                                <w:br/>
                                <w:t xml:space="preserve">Thomas Shannon, el funcionario número tres del Departamento de Estado de EE.UU, también viajó a Venezuela esta semana, se reunió con el presidente Maduro y con líderes de laoposición, y respaldó el diálogo. Ojalá pudiera decir que aquello supone un </w:t>
                              </w:r>
                              <w:r w:rsidRPr="00C810EB">
                                <w:rPr>
                                  <w:rFonts w:eastAsia="Times New Roman" w:cstheme="minorHAnsi"/>
                                  <w:color w:val="5A5050"/>
                                  <w:sz w:val="24"/>
                                  <w:szCs w:val="24"/>
                                  <w:lang w:eastAsia="es-UY"/>
                                </w:rPr>
                                <w:lastRenderedPageBreak/>
                                <w:t>cambio sustancial en la política de EE.UU. en la región, pero todas las pruebasaún apuntan en sentido contrario.</w:t>
                              </w:r>
                              <w:r w:rsidRPr="00C810EB">
                                <w:rPr>
                                  <w:rFonts w:eastAsia="Times New Roman" w:cstheme="minorHAnsi"/>
                                  <w:color w:val="5A5050"/>
                                  <w:sz w:val="24"/>
                                  <w:szCs w:val="24"/>
                                  <w:lang w:eastAsia="es-UY"/>
                                </w:rPr>
                                <w:br/>
                              </w:r>
                              <w:r w:rsidRPr="00C810EB">
                                <w:rPr>
                                  <w:rFonts w:eastAsia="Times New Roman" w:cstheme="minorHAnsi"/>
                                  <w:color w:val="5A5050"/>
                                  <w:sz w:val="24"/>
                                  <w:szCs w:val="24"/>
                                  <w:lang w:eastAsia="es-UY"/>
                                </w:rPr>
                                <w:br/>
                                <w:t>El gobierno de EE.UU. no se dirige a Venezuela con miras al diálogo o a concesiones. El gobierno de Obama aplicó sanciones económicas contra Venezuela, las cuales el mismo presidente Obama renovó el pasado mes de marzo. Alreiterar dichas sanciones, la orden ejecutiva de nuevo </w:t>
                              </w:r>
                              <w:hyperlink r:id="rId10" w:tgtFrame="_blank" w:history="1">
                                <w:r w:rsidRPr="00C810EB">
                                  <w:rPr>
                                    <w:rFonts w:eastAsia="Times New Roman" w:cstheme="minorHAnsi"/>
                                    <w:color w:val="5091B0"/>
                                    <w:sz w:val="24"/>
                                    <w:szCs w:val="24"/>
                                    <w:u w:val="single"/>
                                    <w:lang w:eastAsia="es-UY"/>
                                  </w:rPr>
                                  <w:t>declaró</w:t>
                                </w:r>
                              </w:hyperlink>
                              <w:r w:rsidRPr="00C810EB">
                                <w:rPr>
                                  <w:rFonts w:eastAsia="Times New Roman" w:cstheme="minorHAnsi"/>
                                  <w:color w:val="5A5050"/>
                                  <w:sz w:val="24"/>
                                  <w:szCs w:val="24"/>
                                  <w:lang w:eastAsia="es-UY"/>
                                </w:rPr>
                                <w:t> que Venezuela constituye "una amenaza inusual y extraordinaria a la seguridad de Estados Unidos”. El mundo ya sabe lo que le puede ocurrir a países considerados por EE.UU. como "una inusual y extraordinaria" amenaza a su seguridad. Tan solo hace falta ver lo que pasó en Irak, o lo que le pasó a Nicaragua en la década de 1980 – los gobiernos de ambos países también fueron declarados amenazas “extraordinarias” antes de intervenciones de EEUU. No importacuántas personas se vean directamente afectadas por las sanciones puntuales contra Venezuela. Laamenaza es lo que importa, y es lo suficientemente inquietante y agresiva como para mantener a raya de Venezuela a muchos inversores y elevar el costo de endeudamiento del país. (Demás está decir que la premisa entera de que Venezuela constituye una "amenaza a la seguridad" es absurda). Por otra parte, el gobierno de EE.UU. también ha presionado directamente a instituciones financieras para que no hagan negocios con Venezuela. </w:t>
                              </w:r>
                              <w:r w:rsidRPr="00C810EB">
                                <w:rPr>
                                  <w:rFonts w:eastAsia="Times New Roman" w:cstheme="minorHAnsi"/>
                                  <w:color w:val="5A5050"/>
                                  <w:sz w:val="24"/>
                                  <w:szCs w:val="24"/>
                                  <w:lang w:eastAsia="es-UY"/>
                                </w:rPr>
                                <w:br/>
                              </w:r>
                              <w:r w:rsidRPr="00C810EB">
                                <w:rPr>
                                  <w:rFonts w:eastAsia="Times New Roman" w:cstheme="minorHAnsi"/>
                                  <w:color w:val="5A5050"/>
                                  <w:sz w:val="24"/>
                                  <w:szCs w:val="24"/>
                                  <w:lang w:eastAsia="es-UY"/>
                                </w:rPr>
                                <w:br/>
                                <w:t>Por todas estas razones, queda claro que el objetivo de Washington en Venezuela es por lo pronto idéntico al de casi todos los últimos 15 años. El respaldo al diálogo por parte de Shannon vendrá siendo casi seguramente el mismo que en los deshielos diplomáticos anteriores: un respiro de corta duración y poco sincero. El presidente Obama abrió el período más largo(unos cinco meses) de relaciones tranquilas entre EE.UU. y Venezuela, desde </w:t>
                              </w:r>
                              <w:hyperlink r:id="rId11" w:tgtFrame="_blank" w:history="1">
                                <w:r w:rsidRPr="00C810EB">
                                  <w:rPr>
                                    <w:rFonts w:eastAsia="Times New Roman" w:cstheme="minorHAnsi"/>
                                    <w:color w:val="5091B0"/>
                                    <w:sz w:val="24"/>
                                    <w:szCs w:val="24"/>
                                    <w:u w:val="single"/>
                                    <w:lang w:eastAsia="es-UY"/>
                                  </w:rPr>
                                  <w:t>el golpe militar respaldado por Washington</w:t>
                                </w:r>
                              </w:hyperlink>
                              <w:r w:rsidRPr="00C810EB">
                                <w:rPr>
                                  <w:rFonts w:eastAsia="Times New Roman" w:cstheme="minorHAnsi"/>
                                  <w:color w:val="5A5050"/>
                                  <w:sz w:val="24"/>
                                  <w:szCs w:val="24"/>
                                  <w:lang w:eastAsia="es-UY"/>
                                </w:rPr>
                                <w:t> del año 2002,</w:t>
                              </w:r>
                              <w:hyperlink r:id="rId12" w:tgtFrame="_blank" w:history="1">
                                <w:r w:rsidRPr="00C810EB">
                                  <w:rPr>
                                    <w:rFonts w:eastAsia="Times New Roman" w:cstheme="minorHAnsi"/>
                                    <w:color w:val="5091B0"/>
                                    <w:sz w:val="24"/>
                                    <w:szCs w:val="24"/>
                                    <w:lang w:eastAsia="es-UY"/>
                                  </w:rPr>
                                  <w:t> </w:t>
                                </w:r>
                                <w:r w:rsidRPr="00C810EB">
                                  <w:rPr>
                                    <w:rFonts w:eastAsia="Times New Roman" w:cstheme="minorHAnsi"/>
                                    <w:color w:val="5091B0"/>
                                    <w:sz w:val="24"/>
                                    <w:szCs w:val="24"/>
                                    <w:u w:val="single"/>
                                    <w:lang w:eastAsia="es-UY"/>
                                  </w:rPr>
                                  <w:t>entre marzo y julio</w:t>
                                </w:r>
                              </w:hyperlink>
                              <w:r w:rsidRPr="00C810EB">
                                <w:rPr>
                                  <w:rFonts w:eastAsia="Times New Roman" w:cstheme="minorHAnsi"/>
                                  <w:color w:val="5A5050"/>
                                  <w:sz w:val="24"/>
                                  <w:szCs w:val="24"/>
                                  <w:lang w:eastAsia="es-UY"/>
                                </w:rPr>
                                <w:t> del año pasado. Sin embargo, muy pronto quedó al descubierto que aquello fue solamente porque Cuba - con el apoyo del resto de la región - lo planteó como condición para avanzar en sus propias negociaciones de apertura en las relaciones. Se trataba de algo que Obama quería dejar como su legado. Pero a medida que se acercaban las elecciones a la Asamblea Nacional en Venezuela, la gestión de Obama volvió a su estrategia de cambio de régimen, al apoyar una </w:t>
                              </w:r>
                              <w:hyperlink r:id="rId13" w:tgtFrame="_blank" w:history="1">
                                <w:r w:rsidRPr="00C810EB">
                                  <w:rPr>
                                    <w:rFonts w:eastAsia="Times New Roman" w:cstheme="minorHAnsi"/>
                                    <w:color w:val="5091B0"/>
                                    <w:sz w:val="24"/>
                                    <w:szCs w:val="24"/>
                                    <w:u w:val="single"/>
                                    <w:lang w:eastAsia="es-UY"/>
                                  </w:rPr>
                                  <w:t xml:space="preserve">campaña internacional para deslegitimar las </w:t>
                                </w:r>
                                <w:r w:rsidRPr="00C810EB">
                                  <w:rPr>
                                    <w:rFonts w:eastAsia="Times New Roman" w:cstheme="minorHAnsi"/>
                                    <w:color w:val="5091B0"/>
                                    <w:sz w:val="24"/>
                                    <w:szCs w:val="24"/>
                                    <w:u w:val="single"/>
                                    <w:lang w:eastAsia="es-UY"/>
                                  </w:rPr>
                                  <w:lastRenderedPageBreak/>
                                  <w:t>elecciones</w:t>
                                </w:r>
                              </w:hyperlink>
                              <w:r w:rsidRPr="00C810EB">
                                <w:rPr>
                                  <w:rFonts w:eastAsia="Times New Roman" w:cstheme="minorHAnsi"/>
                                  <w:color w:val="5A5050"/>
                                  <w:sz w:val="24"/>
                                  <w:szCs w:val="24"/>
                                  <w:lang w:eastAsia="es-UY"/>
                                </w:rPr>
                                <w:t> en el país (la cual resultó ser innecesaria, pues la oposición obtuvo una contundente victoria).</w:t>
                              </w:r>
                              <w:r w:rsidRPr="00C810EB">
                                <w:rPr>
                                  <w:rFonts w:eastAsia="Times New Roman" w:cstheme="minorHAnsi"/>
                                  <w:color w:val="5A5050"/>
                                  <w:sz w:val="24"/>
                                  <w:szCs w:val="24"/>
                                  <w:lang w:eastAsia="es-UY"/>
                                </w:rPr>
                                <w:br/>
                              </w:r>
                              <w:r w:rsidRPr="00C810EB">
                                <w:rPr>
                                  <w:rFonts w:eastAsia="Times New Roman" w:cstheme="minorHAnsi"/>
                                  <w:color w:val="5A5050"/>
                                  <w:sz w:val="24"/>
                                  <w:szCs w:val="24"/>
                                  <w:lang w:eastAsia="es-UY"/>
                                </w:rPr>
                                <w:br/>
                                <w:t>La oposición venezolana siguió una "estrategia de tomamilitar" durante los primeros cuatro años del gobierno de Chávez, incluyendo el golpe militar de 2002. Sin embargo, desde el 2004 ha sido sujeta a divisiones en torno a si se debe o no buscar el cambio por vías legales. Cada vez que han contado con personas en las calles en busca de un derrocamiento violento o fuera del marco legal - como en 2002-2003, 2013 o 2014 - el gobierno de EE.UU. se ha puesto de su lado. Washington también ha dirigido campañas internacionales para deslegitimar al gobierno de Venezuela, lo cual forma una parte vital decualquier estrategia paralegal de "cambio de régimen".</w:t>
                              </w:r>
                              <w:r w:rsidRPr="00C810EB">
                                <w:rPr>
                                  <w:rFonts w:eastAsia="Times New Roman" w:cstheme="minorHAnsi"/>
                                  <w:color w:val="5A5050"/>
                                  <w:sz w:val="24"/>
                                  <w:szCs w:val="24"/>
                                  <w:lang w:eastAsia="es-UY"/>
                                </w:rPr>
                                <w:br/>
                              </w:r>
                              <w:r w:rsidRPr="00C810EB">
                                <w:rPr>
                                  <w:rFonts w:eastAsia="Times New Roman" w:cstheme="minorHAnsi"/>
                                  <w:color w:val="5A5050"/>
                                  <w:sz w:val="24"/>
                                  <w:szCs w:val="24"/>
                                  <w:lang w:eastAsia="es-UY"/>
                                </w:rPr>
                                <w:br/>
                                <w:t>Pero por los momentos, el Papa Franciscoha alterado los cálculos de todo el mundo. Para la oposición venezolana de línea dura, condenar al Papa seríapoco sensato. La gestión de Obama tampoco puede ejercer el mismo tipo de presión hacia el Vaticano como la que ejerce, por ejemplo, hacia los gobiernos europeos para que apoyen sus sanciones contra Rusia, o múltiples aventuras militares poco populares. Por otra parte, los medios de comunicación internacionales no pueden marginar o ignorar al Papa de la misma forma en que lo hacen con el resto de los gobiernos del hemisferio, por ejemplo, cuando dichos gobiernos se resisten al apoyo de Washington a un cambio de régimen en Venezuela, en Honduras y en otros países.</w:t>
                              </w:r>
                              <w:r w:rsidRPr="00C810EB">
                                <w:rPr>
                                  <w:rFonts w:eastAsia="Times New Roman" w:cstheme="minorHAnsi"/>
                                  <w:color w:val="5A5050"/>
                                  <w:sz w:val="24"/>
                                  <w:szCs w:val="24"/>
                                  <w:lang w:eastAsia="es-UY"/>
                                </w:rPr>
                                <w:br/>
                              </w:r>
                              <w:r w:rsidRPr="00C810EB">
                                <w:rPr>
                                  <w:rFonts w:eastAsia="Times New Roman" w:cstheme="minorHAnsi"/>
                                  <w:color w:val="5A5050"/>
                                  <w:sz w:val="24"/>
                                  <w:szCs w:val="24"/>
                                  <w:lang w:eastAsia="es-UY"/>
                                </w:rPr>
                                <w:br/>
                                <w:t>El Papa seguramente tiende a ver la crisis venezolana de una forma pragmática, por encima del lente de los imperativos ideológicos e imperiales de Washington. En Venezuela, existe un gobierno dividido. Loschavistas controlan la presidencia y buena parte del poder judicial, mientras que una oposición díscola controla la Asamblea Nacional. Hasta la próxima elección presidencial, no hay manera de resolver el conflicto político sino por el diálogo y la negociación. </w:t>
                              </w:r>
                              <w:r w:rsidRPr="00C810EB">
                                <w:rPr>
                                  <w:rFonts w:eastAsia="Times New Roman" w:cstheme="minorHAnsi"/>
                                  <w:color w:val="5A5050"/>
                                  <w:sz w:val="24"/>
                                  <w:szCs w:val="24"/>
                                  <w:lang w:eastAsia="es-UY"/>
                                </w:rPr>
                                <w:br/>
                              </w:r>
                              <w:r w:rsidRPr="00C810EB">
                                <w:rPr>
                                  <w:rFonts w:eastAsia="Times New Roman" w:cstheme="minorHAnsi"/>
                                  <w:color w:val="5A5050"/>
                                  <w:sz w:val="24"/>
                                  <w:szCs w:val="24"/>
                                  <w:lang w:eastAsia="es-UY"/>
                                </w:rPr>
                                <w:br/>
                                <w:t xml:space="preserve">Puede que el Papa Francisco sea un diplomático pragmático, pero tiene ciertos principios y no se deja intimidar fácilmente. Es probable que entienda que un gobierno dividido en Venezuela es el resultado de un país dividido. Entre el año 2003, cuando el gobierno de Chávez obtuvo el control de la industria petrolera </w:t>
                              </w:r>
                              <w:r w:rsidRPr="00C810EB">
                                <w:rPr>
                                  <w:rFonts w:eastAsia="Times New Roman" w:cstheme="minorHAnsi"/>
                                  <w:color w:val="5A5050"/>
                                  <w:sz w:val="24"/>
                                  <w:szCs w:val="24"/>
                                  <w:lang w:eastAsia="es-UY"/>
                                </w:rPr>
                                <w:lastRenderedPageBreak/>
                                <w:t>nacional, y el año 2014, la gran mayoría de la población vivió grandes aumentos en sus niveles de vida. Es por esta razón que en las elecciones parlamentarias del pasado diciembre, el PSUV aún obtuvo más del 40 por ciento de los votos - a pesar de una inflación que 180 por ciento y la escasez generalizada de bienes de consumo básico. </w:t>
                              </w:r>
                              <w:r w:rsidRPr="00C810EB">
                                <w:rPr>
                                  <w:rFonts w:eastAsia="Times New Roman" w:cstheme="minorHAnsi"/>
                                  <w:color w:val="5A5050"/>
                                  <w:sz w:val="24"/>
                                  <w:szCs w:val="24"/>
                                  <w:lang w:eastAsia="es-UY"/>
                                </w:rPr>
                                <w:br/>
                              </w:r>
                              <w:r w:rsidRPr="00C810EB">
                                <w:rPr>
                                  <w:rFonts w:eastAsia="Times New Roman" w:cstheme="minorHAnsi"/>
                                  <w:color w:val="5A5050"/>
                                  <w:sz w:val="24"/>
                                  <w:szCs w:val="24"/>
                                  <w:lang w:eastAsia="es-UY"/>
                                </w:rPr>
                                <w:br/>
                                <w:t>Gran parte de los logros de la era de Chávez se han perdido en los pasados casi tres años, y en particular en el últimoaño. No obstante, el partido de gobierno todavía cuenta con una base política con memoria de niveles de pobreza y de exclusión - ya no sea de escasez - peores durante la época anterior a Chávez. Ellos no ven a la oposición política, un movimiento político de derecha que siempre ha representado a las clases altas, como gente que les ofrezca soluciones para mejorar sus vidas.</w:t>
                              </w:r>
                              <w:r w:rsidRPr="00C810EB">
                                <w:rPr>
                                  <w:rFonts w:eastAsia="Times New Roman" w:cstheme="minorHAnsi"/>
                                  <w:color w:val="5A5050"/>
                                  <w:sz w:val="24"/>
                                  <w:szCs w:val="24"/>
                                  <w:lang w:eastAsia="es-UY"/>
                                </w:rPr>
                                <w:br/>
                              </w:r>
                              <w:r w:rsidRPr="00C810EB">
                                <w:rPr>
                                  <w:rFonts w:eastAsia="Times New Roman" w:cstheme="minorHAnsi"/>
                                  <w:color w:val="5A5050"/>
                                  <w:sz w:val="24"/>
                                  <w:szCs w:val="24"/>
                                  <w:lang w:eastAsia="es-UY"/>
                                </w:rPr>
                                <w:br/>
                                <w:t>Por lo tanto, el Vaticano probablemente buscará la negociación y el acuerdo de ambos lados de la división política. Esto supone undesafío singular para Washington y algunos de sus aliados más cercanos en Venezuela.</w:t>
                              </w:r>
                            </w:p>
                          </w:tc>
                        </w:tr>
                      </w:tbl>
                      <w:p w14:paraId="4791D308" w14:textId="77777777" w:rsidR="00C810EB" w:rsidRPr="00C810EB" w:rsidRDefault="00C810EB" w:rsidP="00C810EB">
                        <w:pPr>
                          <w:jc w:val="left"/>
                          <w:rPr>
                            <w:rFonts w:eastAsia="Times New Roman" w:cstheme="minorHAnsi"/>
                            <w:sz w:val="24"/>
                            <w:szCs w:val="24"/>
                            <w:lang w:eastAsia="es-UY"/>
                          </w:rPr>
                        </w:pPr>
                      </w:p>
                    </w:tc>
                  </w:tr>
                </w:tbl>
                <w:p w14:paraId="4F3436D2" w14:textId="77777777" w:rsidR="00C810EB" w:rsidRPr="00C810EB" w:rsidRDefault="00C810EB" w:rsidP="00C810EB">
                  <w:pPr>
                    <w:jc w:val="left"/>
                    <w:rPr>
                      <w:rFonts w:eastAsia="Times New Roman" w:cstheme="minorHAnsi"/>
                      <w:vanish/>
                      <w:sz w:val="24"/>
                      <w:szCs w:val="24"/>
                      <w:lang w:eastAsia="es-UY"/>
                    </w:rPr>
                  </w:pPr>
                </w:p>
                <w:tbl>
                  <w:tblPr>
                    <w:tblW w:w="6000" w:type="dxa"/>
                    <w:tblCellMar>
                      <w:left w:w="0" w:type="dxa"/>
                      <w:right w:w="0" w:type="dxa"/>
                    </w:tblCellMar>
                    <w:tblLook w:val="04A0" w:firstRow="1" w:lastRow="0" w:firstColumn="1" w:lastColumn="0" w:noHBand="0" w:noVBand="1"/>
                  </w:tblPr>
                  <w:tblGrid>
                    <w:gridCol w:w="6000"/>
                  </w:tblGrid>
                  <w:tr w:rsidR="00C810EB" w:rsidRPr="00C810EB" w14:paraId="724715A5" w14:textId="77777777">
                    <w:tc>
                      <w:tcPr>
                        <w:tcW w:w="0" w:type="auto"/>
                        <w:tcMar>
                          <w:top w:w="90" w:type="dxa"/>
                          <w:left w:w="180" w:type="dxa"/>
                          <w:bottom w:w="90" w:type="dxa"/>
                          <w:right w:w="180" w:type="dxa"/>
                        </w:tcMar>
                        <w:hideMark/>
                      </w:tcPr>
                      <w:tbl>
                        <w:tblPr>
                          <w:tblW w:w="5000" w:type="pct"/>
                          <w:tblCellMar>
                            <w:left w:w="0" w:type="dxa"/>
                            <w:right w:w="0" w:type="dxa"/>
                          </w:tblCellMar>
                          <w:tblLook w:val="04A0" w:firstRow="1" w:lastRow="0" w:firstColumn="1" w:lastColumn="0" w:noHBand="0" w:noVBand="1"/>
                        </w:tblPr>
                        <w:tblGrid>
                          <w:gridCol w:w="5640"/>
                        </w:tblGrid>
                        <w:tr w:rsidR="00C810EB" w:rsidRPr="00C810EB" w14:paraId="29C7A9AA" w14:textId="77777777">
                          <w:tc>
                            <w:tcPr>
                              <w:tcW w:w="0" w:type="auto"/>
                              <w:tcBorders>
                                <w:top w:val="nil"/>
                                <w:left w:val="nil"/>
                                <w:bottom w:val="nil"/>
                                <w:right w:val="nil"/>
                              </w:tcBorders>
                              <w:shd w:val="clear" w:color="auto" w:fill="E9E9E9"/>
                              <w:hideMark/>
                            </w:tcPr>
                            <w:tbl>
                              <w:tblPr>
                                <w:tblpPr w:leftFromText="30" w:rightFromText="30" w:vertAnchor="text"/>
                                <w:tblW w:w="0" w:type="auto"/>
                                <w:tblCellMar>
                                  <w:left w:w="0" w:type="dxa"/>
                                  <w:right w:w="0" w:type="dxa"/>
                                </w:tblCellMar>
                                <w:tblLook w:val="04A0" w:firstRow="1" w:lastRow="0" w:firstColumn="1" w:lastColumn="0" w:noHBand="0" w:noVBand="1"/>
                              </w:tblPr>
                              <w:tblGrid>
                                <w:gridCol w:w="186"/>
                              </w:tblGrid>
                              <w:tr w:rsidR="00C810EB" w:rsidRPr="00C810EB" w14:paraId="16647A72" w14:textId="77777777">
                                <w:tc>
                                  <w:tcPr>
                                    <w:tcW w:w="0" w:type="auto"/>
                                    <w:tcMar>
                                      <w:top w:w="250" w:type="dxa"/>
                                      <w:left w:w="180" w:type="dxa"/>
                                      <w:bottom w:w="180" w:type="dxa"/>
                                      <w:right w:w="0" w:type="dxa"/>
                                    </w:tcMar>
                                    <w:vAlign w:val="center"/>
                                    <w:hideMark/>
                                  </w:tcPr>
                                  <w:p w14:paraId="2127FEBE" w14:textId="77777777" w:rsidR="00C810EB" w:rsidRPr="00C810EB" w:rsidRDefault="00C810EB" w:rsidP="00C810EB">
                                    <w:pPr>
                                      <w:jc w:val="center"/>
                                      <w:rPr>
                                        <w:rFonts w:eastAsia="Times New Roman" w:cstheme="minorHAnsi"/>
                                        <w:sz w:val="24"/>
                                        <w:szCs w:val="24"/>
                                        <w:lang w:eastAsia="es-UY"/>
                                      </w:rPr>
                                    </w:pPr>
                                  </w:p>
                                </w:tc>
                              </w:tr>
                            </w:tbl>
                            <w:tbl>
                              <w:tblPr>
                                <w:tblpPr w:leftFromText="30" w:rightFromText="30" w:vertAnchor="text" w:tblpXSpec="right" w:tblpYSpec="center"/>
                                <w:tblW w:w="3960" w:type="dxa"/>
                                <w:tblCellMar>
                                  <w:left w:w="0" w:type="dxa"/>
                                  <w:right w:w="0" w:type="dxa"/>
                                </w:tblCellMar>
                                <w:tblLook w:val="04A0" w:firstRow="1" w:lastRow="0" w:firstColumn="1" w:lastColumn="0" w:noHBand="0" w:noVBand="1"/>
                              </w:tblPr>
                              <w:tblGrid>
                                <w:gridCol w:w="3960"/>
                              </w:tblGrid>
                              <w:tr w:rsidR="00C810EB" w:rsidRPr="00C810EB" w14:paraId="29E2CBC9" w14:textId="77777777">
                                <w:tc>
                                  <w:tcPr>
                                    <w:tcW w:w="0" w:type="auto"/>
                                    <w:tcMar>
                                      <w:top w:w="180" w:type="dxa"/>
                                      <w:left w:w="0" w:type="dxa"/>
                                      <w:bottom w:w="180" w:type="dxa"/>
                                      <w:right w:w="180" w:type="dxa"/>
                                    </w:tcMar>
                                    <w:hideMark/>
                                  </w:tcPr>
                                  <w:p w14:paraId="27BA1C77" w14:textId="77777777" w:rsidR="00C810EB" w:rsidRPr="00C810EB" w:rsidRDefault="00C810EB" w:rsidP="003B63DE">
                                    <w:pPr>
                                      <w:spacing w:line="180" w:lineRule="atLeast"/>
                                      <w:jc w:val="left"/>
                                      <w:rPr>
                                        <w:rFonts w:eastAsia="Times New Roman" w:cstheme="minorHAnsi"/>
                                        <w:color w:val="5A5050"/>
                                        <w:sz w:val="24"/>
                                        <w:szCs w:val="24"/>
                                        <w:lang w:eastAsia="es-UY"/>
                                      </w:rPr>
                                    </w:pPr>
                                    <w:r w:rsidRPr="00C810EB">
                                      <w:rPr>
                                        <w:rFonts w:eastAsia="Times New Roman" w:cstheme="minorHAnsi"/>
                                        <w:b/>
                                        <w:bCs/>
                                        <w:color w:val="5A5050"/>
                                        <w:sz w:val="24"/>
                                        <w:szCs w:val="24"/>
                                        <w:lang w:eastAsia="es-UY"/>
                                      </w:rPr>
                                      <w:t>Mark Weisbrot</w:t>
                                    </w:r>
                                    <w:r w:rsidRPr="00C810EB">
                                      <w:rPr>
                                        <w:rFonts w:eastAsia="Times New Roman" w:cstheme="minorHAnsi"/>
                                        <w:color w:val="5A5050"/>
                                        <w:sz w:val="24"/>
                                        <w:szCs w:val="24"/>
                                        <w:lang w:eastAsia="es-UY"/>
                                      </w:rPr>
                                      <w:t> </w:t>
                                    </w:r>
                                    <w:r w:rsidR="003B63DE" w:rsidRPr="003B63DE">
                                      <w:rPr>
                                        <w:rFonts w:eastAsia="Times New Roman" w:cstheme="minorHAnsi"/>
                                        <w:color w:val="5A5050"/>
                                        <w:sz w:val="24"/>
                                        <w:szCs w:val="24"/>
                                        <w:lang w:val="es-ES_tradnl" w:eastAsia="es-UY"/>
                                      </w:rPr>
                                      <w:t xml:space="preserve"> es codirector del Centro de Investigación en Economía y Política (Center for Economic and Policy Research, CEPR) en</w:t>
                                    </w:r>
                                    <w:r w:rsidR="00DA775A" w:rsidRPr="00C810EB">
                                      <w:rPr>
                                        <w:rFonts w:eastAsia="Times New Roman" w:cstheme="minorHAnsi"/>
                                        <w:noProof/>
                                        <w:color w:val="1155CC"/>
                                        <w:sz w:val="24"/>
                                        <w:szCs w:val="24"/>
                                        <w:lang w:val="es-ES_tradnl" w:eastAsia="es-ES_tradnl"/>
                                      </w:rPr>
                                      <w:drawing>
                                        <wp:anchor distT="0" distB="0" distL="114300" distR="114300" simplePos="0" relativeHeight="251660288" behindDoc="0" locked="0" layoutInCell="1" allowOverlap="1" wp14:anchorId="4D10C084" wp14:editId="16B66F82">
                                          <wp:simplePos x="0" y="0"/>
                                          <wp:positionH relativeFrom="column">
                                            <wp:posOffset>-635</wp:posOffset>
                                          </wp:positionH>
                                          <wp:positionV relativeFrom="paragraph">
                                            <wp:posOffset>922655</wp:posOffset>
                                          </wp:positionV>
                                          <wp:extent cx="1018540" cy="1127760"/>
                                          <wp:effectExtent l="0" t="0" r="0" b="0"/>
                                          <wp:wrapTight wrapText="bothSides">
                                            <wp:wrapPolygon edited="0">
                                              <wp:start x="0" y="0"/>
                                              <wp:lineTo x="0" y="20919"/>
                                              <wp:lineTo x="21007" y="20919"/>
                                              <wp:lineTo x="21007" y="0"/>
                                              <wp:lineTo x="0" y="0"/>
                                            </wp:wrapPolygon>
                                          </wp:wrapTight>
                                          <wp:docPr id="2" name="Imagen 2" descr="Mark Weisbrot">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k Weisbrot">
                                                    <a:hlinkClick r:id="rId14" tgtFrame="&quot;_blank&quo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18540" cy="11277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C810EB">
                                      <w:rPr>
                                        <w:rFonts w:eastAsia="Times New Roman" w:cstheme="minorHAnsi"/>
                                        <w:color w:val="5A5050"/>
                                        <w:sz w:val="24"/>
                                        <w:szCs w:val="24"/>
                                        <w:lang w:eastAsia="es-UY"/>
                                      </w:rPr>
                                      <w:t>Washington, D.C. y presidente de la organización</w:t>
                                    </w:r>
                                    <w:hyperlink r:id="rId16" w:tgtFrame="_blank" w:history="1">
                                      <w:r w:rsidRPr="00C810EB">
                                        <w:rPr>
                                          <w:rFonts w:eastAsia="Times New Roman" w:cstheme="minorHAnsi"/>
                                          <w:color w:val="5091B0"/>
                                          <w:sz w:val="24"/>
                                          <w:szCs w:val="24"/>
                                          <w:u w:val="single"/>
                                          <w:lang w:eastAsia="es-UY"/>
                                        </w:rPr>
                                        <w:t>Just Foreign Policy</w:t>
                                      </w:r>
                                    </w:hyperlink>
                                    <w:r w:rsidRPr="00C810EB">
                                      <w:rPr>
                                        <w:rFonts w:eastAsia="Times New Roman" w:cstheme="minorHAnsi"/>
                                        <w:color w:val="5A5050"/>
                                        <w:sz w:val="24"/>
                                        <w:szCs w:val="24"/>
                                        <w:lang w:eastAsia="es-UY"/>
                                      </w:rPr>
                                      <w:t>. También es autor del nuevo libro "</w:t>
                                    </w:r>
                                    <w:hyperlink r:id="rId17" w:tgtFrame="_blank" w:history="1">
                                      <w:r w:rsidRPr="00C810EB">
                                        <w:rPr>
                                          <w:rFonts w:eastAsia="Times New Roman" w:cstheme="minorHAnsi"/>
                                          <w:color w:val="5091B0"/>
                                          <w:sz w:val="24"/>
                                          <w:szCs w:val="24"/>
                                          <w:u w:val="single"/>
                                          <w:lang w:eastAsia="es-UY"/>
                                        </w:rPr>
                                        <w:t>Fracaso. Lo que los 'expertos' no entendieron de la economía global</w:t>
                                      </w:r>
                                    </w:hyperlink>
                                    <w:r w:rsidRPr="00C810EB">
                                      <w:rPr>
                                        <w:rFonts w:eastAsia="Times New Roman" w:cstheme="minorHAnsi"/>
                                        <w:color w:val="5A5050"/>
                                        <w:sz w:val="24"/>
                                        <w:szCs w:val="24"/>
                                        <w:lang w:eastAsia="es-UY"/>
                                      </w:rPr>
                                      <w:t>" (Akal, Madrid, 2016).</w:t>
                                    </w:r>
                                    <w:r w:rsidRPr="00C810EB">
                                      <w:rPr>
                                        <w:rFonts w:eastAsia="Times New Roman" w:cstheme="minorHAnsi"/>
                                        <w:color w:val="5A5050"/>
                                        <w:sz w:val="24"/>
                                        <w:szCs w:val="24"/>
                                        <w:lang w:eastAsia="es-UY"/>
                                      </w:rPr>
                                      <w:br/>
                                    </w:r>
                                    <w:r w:rsidRPr="00C810EB">
                                      <w:rPr>
                                        <w:rFonts w:eastAsia="Times New Roman" w:cstheme="minorHAnsi"/>
                                        <w:color w:val="5A5050"/>
                                        <w:sz w:val="24"/>
                                        <w:szCs w:val="24"/>
                                        <w:lang w:eastAsia="es-UY"/>
                                      </w:rPr>
                                      <w:br/>
                                    </w:r>
                                    <w:r w:rsidRPr="00C810EB">
                                      <w:rPr>
                                        <w:rFonts w:eastAsia="Times New Roman" w:cstheme="minorHAnsi"/>
                                        <w:b/>
                                        <w:bCs/>
                                        <w:color w:val="5A5050"/>
                                        <w:sz w:val="24"/>
                                        <w:szCs w:val="24"/>
                                        <w:lang w:eastAsia="es-UY"/>
                                      </w:rPr>
                                      <w:t>CEPR</w:t>
                                    </w:r>
                                    <w:r w:rsidRPr="00C810EB">
                                      <w:rPr>
                                        <w:rFonts w:eastAsia="Times New Roman" w:cstheme="minorHAnsi"/>
                                        <w:color w:val="5A5050"/>
                                        <w:sz w:val="24"/>
                                        <w:szCs w:val="24"/>
                                        <w:lang w:eastAsia="es-UY"/>
                                      </w:rPr>
                                      <w:t> es un centro de investigación independiente y no partidario, establecido para promover el debate democrático sobre los temas económicos y sociales más importantes que afectan el diario vivir de las personas.</w:t>
                                    </w:r>
                                  </w:p>
                                </w:tc>
                              </w:tr>
                            </w:tbl>
                            <w:p w14:paraId="7CB0AD97" w14:textId="77777777" w:rsidR="00C810EB" w:rsidRPr="00C810EB" w:rsidRDefault="00C810EB" w:rsidP="00C810EB">
                              <w:pPr>
                                <w:jc w:val="center"/>
                                <w:rPr>
                                  <w:rFonts w:eastAsia="Times New Roman" w:cstheme="minorHAnsi"/>
                                  <w:vanish/>
                                  <w:sz w:val="24"/>
                                  <w:szCs w:val="24"/>
                                  <w:lang w:eastAsia="es-UY"/>
                                </w:rPr>
                              </w:pPr>
                            </w:p>
                            <w:p w14:paraId="21007650" w14:textId="77777777" w:rsidR="00C810EB" w:rsidRPr="00C810EB" w:rsidRDefault="00C810EB" w:rsidP="00C810EB">
                              <w:pPr>
                                <w:jc w:val="center"/>
                                <w:rPr>
                                  <w:rFonts w:eastAsia="Times New Roman" w:cstheme="minorHAnsi"/>
                                  <w:sz w:val="24"/>
                                  <w:szCs w:val="24"/>
                                  <w:lang w:eastAsia="es-UY"/>
                                </w:rPr>
                              </w:pPr>
                            </w:p>
                          </w:tc>
                        </w:tr>
                      </w:tbl>
                      <w:p w14:paraId="6BC4A6FD" w14:textId="77777777" w:rsidR="00C810EB" w:rsidRPr="00C810EB" w:rsidRDefault="00C810EB" w:rsidP="00C810EB">
                        <w:pPr>
                          <w:jc w:val="left"/>
                          <w:rPr>
                            <w:rFonts w:eastAsia="Times New Roman" w:cstheme="minorHAnsi"/>
                            <w:sz w:val="24"/>
                            <w:szCs w:val="24"/>
                            <w:lang w:eastAsia="es-UY"/>
                          </w:rPr>
                        </w:pPr>
                      </w:p>
                    </w:tc>
                  </w:tr>
                </w:tbl>
                <w:p w14:paraId="2C163DC6" w14:textId="77777777" w:rsidR="00C810EB" w:rsidRPr="00C810EB" w:rsidRDefault="00C810EB" w:rsidP="00C810EB">
                  <w:pPr>
                    <w:jc w:val="left"/>
                    <w:rPr>
                      <w:rFonts w:eastAsia="Times New Roman" w:cstheme="minorHAnsi"/>
                      <w:vanish/>
                      <w:sz w:val="24"/>
                      <w:szCs w:val="24"/>
                      <w:lang w:eastAsia="es-UY"/>
                    </w:rPr>
                  </w:pPr>
                </w:p>
                <w:tbl>
                  <w:tblPr>
                    <w:tblW w:w="6000" w:type="dxa"/>
                    <w:tblCellMar>
                      <w:left w:w="0" w:type="dxa"/>
                      <w:right w:w="0" w:type="dxa"/>
                    </w:tblCellMar>
                    <w:tblLook w:val="04A0" w:firstRow="1" w:lastRow="0" w:firstColumn="1" w:lastColumn="0" w:noHBand="0" w:noVBand="1"/>
                  </w:tblPr>
                  <w:tblGrid>
                    <w:gridCol w:w="6000"/>
                  </w:tblGrid>
                  <w:tr w:rsidR="00C810EB" w:rsidRPr="00C810EB" w14:paraId="527828A8" w14:textId="77777777">
                    <w:tc>
                      <w:tcPr>
                        <w:tcW w:w="0" w:type="auto"/>
                        <w:tcMar>
                          <w:top w:w="90" w:type="dxa"/>
                          <w:left w:w="0" w:type="dxa"/>
                          <w:bottom w:w="0" w:type="dxa"/>
                          <w:right w:w="0" w:type="dxa"/>
                        </w:tcMar>
                        <w:hideMark/>
                      </w:tcPr>
                      <w:p w14:paraId="6C4C9EE2" w14:textId="77777777" w:rsidR="00C810EB" w:rsidRPr="00C810EB" w:rsidRDefault="00C810EB" w:rsidP="00C810EB">
                        <w:pPr>
                          <w:jc w:val="left"/>
                          <w:rPr>
                            <w:rFonts w:eastAsia="Times New Roman" w:cstheme="minorHAnsi"/>
                            <w:sz w:val="24"/>
                            <w:szCs w:val="24"/>
                            <w:lang w:eastAsia="es-UY"/>
                          </w:rPr>
                        </w:pPr>
                      </w:p>
                    </w:tc>
                  </w:tr>
                </w:tbl>
                <w:p w14:paraId="66BC85E0" w14:textId="77777777" w:rsidR="00C810EB" w:rsidRPr="00C810EB" w:rsidRDefault="00C810EB" w:rsidP="00C810EB">
                  <w:pPr>
                    <w:jc w:val="left"/>
                    <w:rPr>
                      <w:rFonts w:eastAsia="Times New Roman" w:cstheme="minorHAnsi"/>
                      <w:sz w:val="24"/>
                      <w:szCs w:val="24"/>
                      <w:lang w:eastAsia="es-UY"/>
                    </w:rPr>
                  </w:pPr>
                </w:p>
              </w:tc>
            </w:tr>
          </w:tbl>
          <w:p w14:paraId="77BABA15" w14:textId="77777777" w:rsidR="00C810EB" w:rsidRPr="00C810EB" w:rsidRDefault="00C810EB" w:rsidP="00C810EB">
            <w:pPr>
              <w:jc w:val="center"/>
              <w:rPr>
                <w:rFonts w:eastAsia="Times New Roman" w:cstheme="minorHAnsi"/>
                <w:color w:val="000000"/>
                <w:sz w:val="24"/>
                <w:szCs w:val="24"/>
                <w:lang w:eastAsia="es-UY"/>
              </w:rPr>
            </w:pPr>
          </w:p>
        </w:tc>
      </w:tr>
    </w:tbl>
    <w:p w14:paraId="75BBB779" w14:textId="77777777"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defaultTabStop w:val="708"/>
  <w:hyphenationZone w:val="425"/>
  <w:characterSpacingControl w:val="doNotCompress"/>
  <w:compat>
    <w:compatSetting w:name="compatibilityMode" w:uri="http://schemas.microsoft.com/office/word" w:val="12"/>
  </w:compat>
  <w:rsids>
    <w:rsidRoot w:val="00C810EB"/>
    <w:rsid w:val="00221703"/>
    <w:rsid w:val="003B63DE"/>
    <w:rsid w:val="004F1DAE"/>
    <w:rsid w:val="00A0132B"/>
    <w:rsid w:val="00C65B96"/>
    <w:rsid w:val="00C810EB"/>
    <w:rsid w:val="00DA775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4E64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21703"/>
  </w:style>
  <w:style w:type="paragraph" w:styleId="Ttulo1">
    <w:name w:val="heading 1"/>
    <w:basedOn w:val="Normal"/>
    <w:link w:val="Ttulo1Car"/>
    <w:uiPriority w:val="9"/>
    <w:qFormat/>
    <w:rsid w:val="00C810EB"/>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paragraph" w:styleId="Ttulo3">
    <w:name w:val="heading 3"/>
    <w:basedOn w:val="Normal"/>
    <w:link w:val="Ttulo3Car"/>
    <w:uiPriority w:val="9"/>
    <w:qFormat/>
    <w:rsid w:val="00C810EB"/>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810EB"/>
    <w:rPr>
      <w:rFonts w:ascii="Times New Roman" w:eastAsia="Times New Roman" w:hAnsi="Times New Roman" w:cs="Times New Roman"/>
      <w:b/>
      <w:bCs/>
      <w:kern w:val="36"/>
      <w:sz w:val="48"/>
      <w:szCs w:val="48"/>
      <w:lang w:eastAsia="es-UY"/>
    </w:rPr>
  </w:style>
  <w:style w:type="character" w:customStyle="1" w:styleId="Ttulo3Car">
    <w:name w:val="Título 3 Car"/>
    <w:basedOn w:val="Fuentedeprrafopredeter"/>
    <w:link w:val="Ttulo3"/>
    <w:uiPriority w:val="9"/>
    <w:rsid w:val="00C810EB"/>
    <w:rPr>
      <w:rFonts w:ascii="Times New Roman" w:eastAsia="Times New Roman" w:hAnsi="Times New Roman" w:cs="Times New Roman"/>
      <w:b/>
      <w:bCs/>
      <w:sz w:val="27"/>
      <w:szCs w:val="27"/>
      <w:lang w:eastAsia="es-UY"/>
    </w:rPr>
  </w:style>
  <w:style w:type="character" w:styleId="Hipervnculo">
    <w:name w:val="Hyperlink"/>
    <w:basedOn w:val="Fuentedeprrafopredeter"/>
    <w:uiPriority w:val="99"/>
    <w:semiHidden/>
    <w:unhideWhenUsed/>
    <w:rsid w:val="00C810EB"/>
    <w:rPr>
      <w:color w:val="0000FF"/>
      <w:u w:val="single"/>
    </w:rPr>
  </w:style>
  <w:style w:type="paragraph" w:styleId="NormalWeb">
    <w:name w:val="Normal (Web)"/>
    <w:basedOn w:val="Normal"/>
    <w:uiPriority w:val="99"/>
    <w:unhideWhenUsed/>
    <w:rsid w:val="00C810EB"/>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C810EB"/>
  </w:style>
  <w:style w:type="character" w:customStyle="1" w:styleId="m-5447933129188643866entry-meta">
    <w:name w:val="m_-5447933129188643866entry-meta"/>
    <w:basedOn w:val="Fuentedeprrafopredeter"/>
    <w:rsid w:val="00C810EB"/>
  </w:style>
  <w:style w:type="paragraph" w:styleId="Textodeglobo">
    <w:name w:val="Balloon Text"/>
    <w:basedOn w:val="Normal"/>
    <w:link w:val="TextodegloboCar"/>
    <w:uiPriority w:val="99"/>
    <w:semiHidden/>
    <w:unhideWhenUsed/>
    <w:rsid w:val="00C810EB"/>
    <w:rPr>
      <w:rFonts w:ascii="Tahoma" w:hAnsi="Tahoma" w:cs="Tahoma"/>
      <w:sz w:val="16"/>
      <w:szCs w:val="16"/>
    </w:rPr>
  </w:style>
  <w:style w:type="character" w:customStyle="1" w:styleId="TextodegloboCar">
    <w:name w:val="Texto de globo Car"/>
    <w:basedOn w:val="Fuentedeprrafopredeter"/>
    <w:link w:val="Textodeglobo"/>
    <w:uiPriority w:val="99"/>
    <w:semiHidden/>
    <w:rsid w:val="00C810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234905">
      <w:bodyDiv w:val="1"/>
      <w:marLeft w:val="0"/>
      <w:marRight w:val="0"/>
      <w:marTop w:val="0"/>
      <w:marBottom w:val="0"/>
      <w:divBdr>
        <w:top w:val="none" w:sz="0" w:space="0" w:color="auto"/>
        <w:left w:val="none" w:sz="0" w:space="0" w:color="auto"/>
        <w:bottom w:val="none" w:sz="0" w:space="0" w:color="auto"/>
        <w:right w:val="none" w:sz="0" w:space="0" w:color="auto"/>
      </w:divBdr>
      <w:divsChild>
        <w:div w:id="1114906300">
          <w:marLeft w:val="0"/>
          <w:marRight w:val="0"/>
          <w:marTop w:val="0"/>
          <w:marBottom w:val="0"/>
          <w:divBdr>
            <w:top w:val="none" w:sz="0" w:space="0" w:color="auto"/>
            <w:left w:val="none" w:sz="0" w:space="0" w:color="auto"/>
            <w:bottom w:val="none" w:sz="0" w:space="0" w:color="auto"/>
            <w:right w:val="none" w:sz="0" w:space="0" w:color="auto"/>
          </w:divBdr>
        </w:div>
        <w:div w:id="850876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org.salsalabs.com/dia/track.jsp?v=2&amp;c=HeirNn7v85zeBhnX7XQgtH3cP3lH7yz5" TargetMode="External"/><Relationship Id="rId12" Type="http://schemas.openxmlformats.org/officeDocument/2006/relationships/hyperlink" Target="http://org.salsalabs.com/dia/track.jsp?v=2&amp;c=CXHscQHkZ3z2xUAFsLnphX3cP3lH7yz5" TargetMode="External"/><Relationship Id="rId13" Type="http://schemas.openxmlformats.org/officeDocument/2006/relationships/hyperlink" Target="http://org.salsalabs.com/dia/track.jsp?v=2&amp;c=70KzyDAMHTv8KqNjfrD%2B3X3cP3lH7yz5" TargetMode="External"/><Relationship Id="rId14" Type="http://schemas.openxmlformats.org/officeDocument/2006/relationships/hyperlink" Target="http://org.salsalabs.com/dia/track.jsp?v=2&amp;c=0ZY1m51nbsti73kr40KhYn3cP3lH7yz5" TargetMode="External"/><Relationship Id="rId15" Type="http://schemas.openxmlformats.org/officeDocument/2006/relationships/image" Target="media/image2.jpeg"/><Relationship Id="rId16" Type="http://schemas.openxmlformats.org/officeDocument/2006/relationships/hyperlink" Target="http://org.salsalabs.com/dia/track.jsp?v=2&amp;c=ZobPTc7WzDLVdWcTRcl3oT71MWPQzP64" TargetMode="External"/><Relationship Id="rId17" Type="http://schemas.openxmlformats.org/officeDocument/2006/relationships/hyperlink" Target="http://org.salsalabs.com/dia/track.jsp?v=2&amp;c=s0vbtppZ3J54zrzMwRjvOH3cP3lH7yz5"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org.salsalabs.com/dia/track.jsp?v=2&amp;c=fjUnm1ySBjVAwjJGUuAd633cP3lH7yz5" TargetMode="External"/><Relationship Id="rId5" Type="http://schemas.openxmlformats.org/officeDocument/2006/relationships/image" Target="media/image1.png"/><Relationship Id="rId6" Type="http://schemas.openxmlformats.org/officeDocument/2006/relationships/hyperlink" Target="http://org.salsalabs.com/dia/track.jsp?v=2&amp;c=yBxp%2F2IP5CFOR6lupc%2FWSn3cP3lH7yz5" TargetMode="External"/><Relationship Id="rId7" Type="http://schemas.openxmlformats.org/officeDocument/2006/relationships/hyperlink" Target="http://org.salsalabs.com/dia/track.jsp?v=2&amp;c=Vk3d0%2FsQFJxA0CjaUrc%2FuX3cP3lH7yz5" TargetMode="External"/><Relationship Id="rId8" Type="http://schemas.openxmlformats.org/officeDocument/2006/relationships/hyperlink" Target="http://org.salsalabs.com/dia/track.jsp?v=2&amp;c=v%2B7tLFHJSR6hdRT3UfDc9z71MWPQzP64" TargetMode="External"/><Relationship Id="rId9" Type="http://schemas.openxmlformats.org/officeDocument/2006/relationships/hyperlink" Target="http://org.salsalabs.com/dia/track.jsp?v=2&amp;c=SzLVvPSGv7ecZlygzCHKIz71MWPQzP64" TargetMode="External"/><Relationship Id="rId10" Type="http://schemas.openxmlformats.org/officeDocument/2006/relationships/hyperlink" Target="http://org.salsalabs.com/dia/track.jsp?v=2&amp;c=oHl1F2czUSVnDQhL2NrMJ33cP3lH7yz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1402</Words>
  <Characters>7714</Characters>
  <Application>Microsoft Macintosh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Néstor Da Costa</dc:creator>
  <cp:lastModifiedBy>OSCAR AUGUSTO ELIZALDE PRADA</cp:lastModifiedBy>
  <cp:revision>2</cp:revision>
  <dcterms:created xsi:type="dcterms:W3CDTF">2016-11-08T11:31:00Z</dcterms:created>
  <dcterms:modified xsi:type="dcterms:W3CDTF">2016-11-10T22:25:00Z</dcterms:modified>
</cp:coreProperties>
</file>