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8C" w:rsidRPr="00A4218C" w:rsidRDefault="00A4218C" w:rsidP="00A4218C">
      <w:pPr>
        <w:rPr>
          <w:rFonts w:ascii="Arial Black" w:eastAsia="Times New Roman" w:hAnsi="Arial Black" w:cs="Helvetica"/>
          <w:color w:val="333333"/>
          <w:sz w:val="16"/>
          <w:szCs w:val="16"/>
          <w:lang w:eastAsia="es-UY"/>
        </w:rPr>
      </w:pPr>
      <w:r w:rsidRPr="00A4218C">
        <w:rPr>
          <w:rFonts w:ascii="Arial Black" w:eastAsia="Times New Roman" w:hAnsi="Arial Black" w:cs="Helvetica"/>
          <w:b/>
          <w:bCs/>
          <w:color w:val="333333"/>
          <w:sz w:val="28"/>
          <w:szCs w:val="28"/>
          <w:lang w:eastAsia="es-UY"/>
        </w:rPr>
        <w:t xml:space="preserve">E se o Papa Francisco </w:t>
      </w:r>
      <w:proofErr w:type="spellStart"/>
      <w:r w:rsidRPr="00A4218C">
        <w:rPr>
          <w:rFonts w:ascii="Arial Black" w:eastAsia="Times New Roman" w:hAnsi="Arial Black" w:cs="Helvetica"/>
          <w:b/>
          <w:bCs/>
          <w:color w:val="333333"/>
          <w:sz w:val="28"/>
          <w:szCs w:val="28"/>
          <w:lang w:eastAsia="es-UY"/>
        </w:rPr>
        <w:t>for</w:t>
      </w:r>
      <w:proofErr w:type="spellEnd"/>
      <w:r w:rsidRPr="00A4218C">
        <w:rPr>
          <w:rFonts w:ascii="Arial Black" w:eastAsia="Times New Roman" w:hAnsi="Arial Black" w:cs="Helvetica"/>
          <w:b/>
          <w:bCs/>
          <w:color w:val="333333"/>
          <w:sz w:val="28"/>
          <w:szCs w:val="28"/>
          <w:lang w:eastAsia="es-UY"/>
        </w:rPr>
        <w:t xml:space="preserve"> anarquista</w:t>
      </w:r>
      <w:proofErr w:type="gramStart"/>
      <w:r w:rsidRPr="00A4218C">
        <w:rPr>
          <w:rFonts w:ascii="Arial Black" w:eastAsia="Times New Roman" w:hAnsi="Arial Black" w:cs="Helvetica"/>
          <w:b/>
          <w:bCs/>
          <w:color w:val="333333"/>
          <w:sz w:val="28"/>
          <w:szCs w:val="28"/>
          <w:lang w:eastAsia="es-UY"/>
        </w:rPr>
        <w:t>?</w:t>
      </w:r>
      <w:proofErr w:type="gramEnd"/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Considerações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torno da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’).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Eduardo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Hoornaert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jc w:val="right"/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14/11/2016.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E se o Para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anarquista</w:t>
      </w:r>
      <w:proofErr w:type="gram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anarquista no sentido que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costuma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termo, mas no sentido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lucidez acerca do modo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promove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simples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estado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controlam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os instrumentos do estado, mas por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interação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entre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forças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existentes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impulsionada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base.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Desenvolvi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tema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blog que publico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hoje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juntamente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este, e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título ‘Marxistas, comunistas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anarquistas: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reflexão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após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vitória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Trump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eleições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americanas’.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você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dois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textos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conjunto, estará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condições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entender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melhor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que pretendo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1.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primeiro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lugar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consideração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ordem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histórica. Jorge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Bergoglio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jesuíta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cuja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formação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situa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dentro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argentina dos anos 1960-1980.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longa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escola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formação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jesuítica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sob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inspiração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figuras como Karl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Rahner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Lúcio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Gera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Enrique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Angelelli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Juan Carlos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Scannone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Romano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Guardini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outras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figuras de grande impacto, tanto argentinas como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estrangeiras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jovem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jesuíta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adquire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sensibilidade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peculiar pelo ‘popular’,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aguça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opção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pelo pobre’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mesmo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tempo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evita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fixação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conquista do poder.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Libertação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cunho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argentino é diferente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daquela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praticada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época,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outros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lugares, como no Brasil por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exemplo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Principalmente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sob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orientação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Padre Juan Carlos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Scannone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convive longos anos, Jorge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Bergoglio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adere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à chamada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vertente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libertação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característica que se distancia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diante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ortodoxa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análise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marxista, que implica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procura do poder do estado.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podemos negar que, no substrato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explícito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Libertação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versão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brasileira,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havia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expetativa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revolução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socialista’,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da tomada do poder do estado por partidos inspirados no marxismo.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sentido que podemos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qualificar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 de ‘anárquica’.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Ela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ativa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populares’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atuantes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civil, valoriza a ‘mística popular’,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procura ocupar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espaços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poder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governamental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prefere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animar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processos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lentos,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necessitam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tempo 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paciência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postura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), aceita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comunhão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diferenças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heterossexuais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>homossexuais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casados e divorciados, católicos, protestantes, evangélicos, padres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solteiros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padres casados), insiste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observação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realidade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propõe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diretamente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ideias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próprias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teologia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modesta,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pretensões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modestas.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2.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jesuíta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torna Papa e,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após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três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anos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papado,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claro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gosta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ser Papa. </w:t>
      </w:r>
      <w:proofErr w:type="gram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Mas</w:t>
      </w:r>
      <w:proofErr w:type="gram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modo.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sentado no trono (como o cargo exige),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postura de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chefe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coordenador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governo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 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Escuta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atenção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fala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calma. Parece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gostar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muito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das Jornadas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Juventude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iniciativa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predecessor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João Paulo II, mas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gosta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demais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Encontros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Populares.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terceiro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acaba de terminar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Roma no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início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novembro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2016. O que ele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diz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encontros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merece ser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relido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aparece nos grandes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meios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comunicação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Merece ser divulgado pela internet,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expressa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que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últimas capilaridades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corpo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social, entre os silenciados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esquecidos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3.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Recentemente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amigo me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: ‘Papa Francisco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joga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mas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faz gol’.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Cadê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reforma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Cúria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?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abolição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celibato</w:t>
      </w:r>
      <w:proofErr w:type="gram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ordenação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mulheres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?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apoio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Gay?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decretação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licença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dar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comunhão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divorciadas?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readmissão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padres casados</w:t>
      </w:r>
      <w:proofErr w:type="gram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Parece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tudo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caminho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que nada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resolve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tudo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como está.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suma, o Papa Francisco está no poder,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exerce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poder. Por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trás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colocação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amigo existe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modo de pensar: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só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faz gol faz algo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E se o gol do Papa Francisco existe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exatamente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fazer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gol,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emplacar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vitória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r w:rsidRPr="00A4218C">
        <w:rPr>
          <w:rFonts w:ascii="Helvetica" w:eastAsia="Times New Roman" w:hAnsi="Helvetica" w:cs="Helvetica"/>
          <w:color w:val="333333"/>
          <w:sz w:val="28"/>
          <w:lang w:eastAsia="es-UY"/>
        </w:rPr>
        <w:t> 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O modo de pensar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amigo é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cunho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autoritário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Como se o poder do estado (do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governo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central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só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ele,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estivesse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condição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mudar 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coisas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engano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já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caiu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socialismo real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amigo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já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ter aprendido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mudança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só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faz por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pressão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baixo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A cúpula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nunca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vai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mudar nada,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mudança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implica no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reconhecimento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própria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inutilidade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‘cúpula’ pode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fazer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enquanto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estamos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presentes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condições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históricas, é animar 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base.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exatamente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que faz o Papa Francisco.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4.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atual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Papa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já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está tempo suficiente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direção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Católica para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saibamos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ele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vai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fazer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gol’.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desorienta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muita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gente que espera que ‘Roma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vai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mudar’. Ora,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vontade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mudar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pertence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fundamento de poder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estabelecido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Roma.</w:t>
      </w:r>
      <w:r w:rsidRPr="00A4218C">
        <w:rPr>
          <w:rFonts w:ascii="Helvetica" w:eastAsia="Times New Roman" w:hAnsi="Helvetica" w:cs="Helvetica"/>
          <w:color w:val="333333"/>
          <w:sz w:val="28"/>
          <w:lang w:eastAsia="es-UY"/>
        </w:rPr>
        <w:t> 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 xml:space="preserve">Permita-me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aqui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pequena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digressão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história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 papado emerge,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atrás,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dura e demorada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contenda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entre bispos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cidades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importantes como Constantinopla, Alexandria, Antioquia e Roma. Até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XI, Roma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consegue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livrar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poderio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exercido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pela parte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grega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(os patriarcas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orientais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longo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primeiro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milênio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tenacidade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sucessivos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patriarcas de Roma (chamados ‘papa’ pelo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povo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ampliam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ascendência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sobre 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demais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Ocidente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processo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séculos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Finalmente,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1052, o patriarca de Roma rompe definitivamente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os patriarcas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gregos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começa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experiência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nova, chamada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católica.</w:t>
      </w:r>
      <w:r w:rsidRPr="00A4218C">
        <w:rPr>
          <w:rFonts w:ascii="Helvetica" w:eastAsia="Times New Roman" w:hAnsi="Helvetica" w:cs="Helvetica"/>
          <w:color w:val="333333"/>
          <w:sz w:val="28"/>
          <w:lang w:eastAsia="es-UY"/>
        </w:rPr>
        <w:t> 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5.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sucessão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apostólica’, o pontificado de Francisco é algo inesperado, que prenuncia tempos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novos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claro no famoso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Encontro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organizado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Roma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final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ano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2015, para saber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comportar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diante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católicos divorciados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desejassem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participar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comunhão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eucarística.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Encontro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preparado por consultas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feitas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todos 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rincões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universo católico.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intenção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era de atingir os casados e divorciados.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significativamente, as consultas entre casados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divorciados (os eventualmente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interessados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deram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nada,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enquanto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cardeais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arcebispos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bispos e padres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manifestaram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abundantemente. Finalmente,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alguns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representantes-figurantes do universo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leigo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’)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reuniram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Roma para discutir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admissão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divorciadas à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comunhão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correntes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digladiaram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sempre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devida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cortesia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eclesiástica),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enquanto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Papa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cima do muro’.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pronunciou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deixou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discussão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correr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livremente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  O resultado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foi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placar 0 a 0. Para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alguns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resultado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nenhum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Para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outros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verdadeira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vitória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 recado do Papa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os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entendidos’: que cada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(a) decida, que cada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(a) tome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sua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vida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mãos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Efetivamente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o Papa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dá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impressão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pé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para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trás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Tenho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impressão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 ele detecta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muitas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iniciativas ‘da base’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oculto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desejo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hegemônico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típico do catolicismo.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desejo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mal vislumbrado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nunca verbalizado, existe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mesmo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condução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CEBs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essa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movimentação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típica da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sociedade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civil (como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deveria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ser).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desejo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hegemônico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(de ‘tomar o poder’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igreja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)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terá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ser detectado e depurado. O que me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fica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claro é que o Papa nos impele a ‘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fazer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algo’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nossas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condições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concretas de vida. Algo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benefício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</w:t>
      </w:r>
      <w:r w:rsidRPr="00A4218C">
        <w:rPr>
          <w:rFonts w:ascii="Helvetica" w:eastAsia="Times New Roman" w:hAnsi="Helvetica" w:cs="Helvetica"/>
          <w:color w:val="333333"/>
          <w:sz w:val="28"/>
          <w:lang w:eastAsia="es-UY"/>
        </w:rPr>
        <w:t> </w:t>
      </w: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</w:p>
    <w:p w:rsidR="00A4218C" w:rsidRPr="00A4218C" w:rsidRDefault="00A4218C" w:rsidP="00A4218C">
      <w:pPr>
        <w:rPr>
          <w:rFonts w:ascii="Helvetica" w:eastAsia="Times New Roman" w:hAnsi="Helvetica" w:cs="Helvetica"/>
          <w:color w:val="333333"/>
          <w:sz w:val="16"/>
          <w:szCs w:val="16"/>
          <w:lang w:eastAsia="es-UY"/>
        </w:rPr>
      </w:pPr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lastRenderedPageBreak/>
        <w:t xml:space="preserve">6. No final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dessas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considerações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posso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deixar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ceder à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tentação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citar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linda frase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Slavoj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Zizek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livro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‘O Absoluto frágil: por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vale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pena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lutar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pelo legado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cristão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 ’ (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Boitempo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São Paulo, 2015, 126), que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traça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modo,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perfil do Papa Francisco.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 frase: ‘O que é o Absoluto</w:t>
      </w:r>
      <w:proofErr w:type="gram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?</w:t>
      </w:r>
      <w:proofErr w:type="gram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Algo que aparece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experiências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efêmeras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digamos no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sorriso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gentil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bela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mulher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ou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sorriso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caloroso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afetuoso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que,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condições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normais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pareceria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feia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rude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 Absoluto é frágil, ele escapa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facilmente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nossos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dedos 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deve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ser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manuseado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máximo de cuidado, como se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fosse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borboleta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Agora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vejo o Papa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longamente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passando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pela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interminável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fila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pessoas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entusiasmadas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Praça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São Pedro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Roma e parando de vez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quando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diante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criança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de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uma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senhora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velha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num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carrinho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brilho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nos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olhos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. 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brilho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do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encontro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o ‘Absoluto’.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Isso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encenação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comédia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,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não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 xml:space="preserve"> é </w:t>
      </w:r>
      <w:proofErr w:type="spellStart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hipocrisia</w:t>
      </w:r>
      <w:proofErr w:type="spellEnd"/>
      <w:r w:rsidRPr="00A4218C">
        <w:rPr>
          <w:rFonts w:ascii="Helvetica" w:eastAsia="Times New Roman" w:hAnsi="Helvetica" w:cs="Helvetica"/>
          <w:color w:val="333333"/>
          <w:sz w:val="28"/>
          <w:szCs w:val="28"/>
          <w:lang w:eastAsia="es-UY"/>
        </w:rPr>
        <w:t>. É o Papa Francisco.   </w:t>
      </w:r>
    </w:p>
    <w:p w:rsidR="00221703" w:rsidRDefault="00221703"/>
    <w:p w:rsidR="00A4218C" w:rsidRDefault="00A4218C"/>
    <w:p w:rsidR="00A4218C" w:rsidRDefault="00A4218C">
      <w:r w:rsidRPr="00A4218C">
        <w:t>http://eduardohoornaert.blogspot.com.uy/2016/11/e-se-o-papa-francisco-for-anarquista.html</w:t>
      </w:r>
    </w:p>
    <w:sectPr w:rsidR="00A4218C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A4218C"/>
    <w:rsid w:val="00221703"/>
    <w:rsid w:val="00A4218C"/>
    <w:rsid w:val="00E3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A4218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18C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A4218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42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661">
          <w:marLeft w:val="0"/>
          <w:marRight w:val="0"/>
          <w:marTop w:val="111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2016-11-15T18:40:00Z</dcterms:created>
  <dcterms:modified xsi:type="dcterms:W3CDTF">2016-11-15T18:41:00Z</dcterms:modified>
</cp:coreProperties>
</file>