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24" w:rsidRPr="001E5224" w:rsidRDefault="001E5224" w:rsidP="001E522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UY"/>
        </w:rPr>
      </w:pPr>
      <w:r w:rsidRPr="001E5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UY"/>
        </w:rPr>
        <w:br/>
      </w:r>
      <w:r w:rsidRPr="001E5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UY"/>
        </w:rPr>
        <w:t>Declaración Pública - Observatorio Ciudadano</w:t>
      </w:r>
    </w:p>
    <w:p w:rsidR="001E5224" w:rsidRPr="001E5224" w:rsidRDefault="001E5224" w:rsidP="001E522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1E5224" w:rsidRPr="001E5224" w:rsidRDefault="001E5224" w:rsidP="001E522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UY"/>
        </w:rPr>
      </w:pPr>
      <w:r w:rsidRPr="001E5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UY"/>
        </w:rPr>
        <w:t xml:space="preserve">ANTE BALEO A NIÑO MAPUCHE (Brandon Hernández </w:t>
      </w:r>
      <w:proofErr w:type="spellStart"/>
      <w:r w:rsidRPr="001E5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UY"/>
        </w:rPr>
        <w:t>Huentecol</w:t>
      </w:r>
      <w:proofErr w:type="spellEnd"/>
      <w:r w:rsidRPr="001E5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UY"/>
        </w:rPr>
        <w:t>)</w:t>
      </w:r>
    </w:p>
    <w:p w:rsidR="001E5224" w:rsidRPr="001E5224" w:rsidRDefault="001E5224" w:rsidP="001E522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El domingo 18 de diciembre, Brandon Hernández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Huentecol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, niño mapuche de 17 años del sector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Curaco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, de la comuna de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Collipulli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, resultó gravemente herido tras recibir un impacto de escopeta en su espalda disparada por un efectivo de Fuerzas Especiales de Carabineros durante un operativo realizado en la ruta R-49, que une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Collipulli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 con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Curaco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. Frente a este grave hecho queremos manifestar: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1.- Al igual que lo hemos hecho en el pasado con respecto a otros hechos de violencia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interétnica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 en la región, condenamos tajantemente este hecho que viene a deteriorar aún más la ya fracturada convivencia entre los diferentes pueblos que habitamos la región. Condenamos el actuar abusivo de Carabineros en los procedimientos realizados al interior de comunidades Mapuche, y en sus tierras de ocupación tradicional, sin considerar la presencia de niños, mujeres y adultos mayores cuyos derechos se ven especialmente afectados.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2.- Cabe recordar que las actuaciones abusivas de las policías han resultado en los últimos años en el homicidio y en numerosos casos de tortura y tratos crueles, inhumanos o degradantes que han afectado a niños y niñas mapuche, hechos que, además de incrementar el conflicto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interétnico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, han sido representados por la justicia a través de diversos fallos en los que se ha instado a las fuerzas policiales a actuar con especial preocupación y pleno respeto a los derechos de niños y niñas indígenas.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3.- Hacemos un llamado al Ministerio Público a investigar y perseguir este delito con el mismo rigor con que ha perseguido los delitos que se imputan a personas u </w:t>
      </w:r>
      <w:proofErr w:type="gram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organizaciones mapuche</w:t>
      </w:r>
      <w:proofErr w:type="gram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; y a sancionar a los agentes policiales participantes en tan reprochable acto. Además, instamos a los Tribunales de Justicia ordinarios, los que luego del término del fuero de los Tribunales Militares para conocer los delitos que cometen las policías en contra de civiles a través de la reciente ley que tipifica el delito de tortura, son quienes tienen competencia en este caso, a investigar y sancionar con las penas correspondientes a quienes resulten responsables.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 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4.- Instamos al Ministerio del Interior y de Seguridad Pública, quien tiene a su cargo la política de seguridad pública, a adoptar medidas administrativas que permitan la investigación y sanción de esta actuación policial, así como adoptar las políticas públicas que pongan fin a prácticas policiales que resulten en hechos lesivos de derechos humanos, como la integridad física y síquica, derechos vulnerados en este caso.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 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5.- Hacemos un llamado a las autoridades del gobierno nacional y regional a impulsar una política coherente para abordar el conflicto </w:t>
      </w:r>
      <w:proofErr w:type="spellStart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interétnico</w:t>
      </w:r>
      <w:proofErr w:type="spellEnd"/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 xml:space="preserve"> que se vive en La Araucanía y regiones aledañas. Reiteramos en este sentido que las políticas basadas en un tratamiento meramente policial a las reivindicaciones de derechos del pueblo mapuche, lejos de lograr su superación inciden en un recrudecimiento de la violencia, como lo hemos visto en el último tiempo.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 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lastRenderedPageBreak/>
        <w:t>6.-Instamos por lo mismo a la autoridad a desarrollar una política que, a través del diálogo con las organizaciones representativas del pueblo mapuche, permita avanzar en el reconocimiento y ejercicio efectivo de derechos que han sido reconocidos a los pueblos indígenas por instrumentos internacionales a los que Chile ha adherido, incluyendo la restitución de sus tierras de ocupación tradicional, la participación política, la autonomía y el derecho a definir sus prioridades en materia de desarrollo.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 </w:t>
      </w:r>
    </w:p>
    <w:p w:rsidR="001E5224" w:rsidRPr="001E5224" w:rsidRDefault="001E5224" w:rsidP="001E522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  <w:t>Temuco, Santiago, 22 de diciembre de 2016</w:t>
      </w:r>
    </w:p>
    <w:p w:rsidR="001E5224" w:rsidRPr="001E5224" w:rsidRDefault="001E5224" w:rsidP="001E5224">
      <w:pPr>
        <w:shd w:val="clear" w:color="auto" w:fill="FFFFFF"/>
        <w:jc w:val="left"/>
        <w:rPr>
          <w:rFonts w:ascii="Times New Roman" w:eastAsia="Times New Roman" w:hAnsi="Times New Roman" w:cs="Times New Roman"/>
          <w:color w:val="888888"/>
          <w:sz w:val="24"/>
          <w:szCs w:val="24"/>
          <w:lang w:eastAsia="es-UY"/>
        </w:rPr>
      </w:pPr>
      <w:r w:rsidRPr="001E5224">
        <w:rPr>
          <w:rFonts w:ascii="Times New Roman" w:eastAsia="Times New Roman" w:hAnsi="Times New Roman" w:cs="Times New Roman"/>
          <w:color w:val="888888"/>
          <w:sz w:val="24"/>
          <w:szCs w:val="24"/>
          <w:lang w:eastAsia="es-UY"/>
        </w:rPr>
        <w:t> </w:t>
      </w:r>
    </w:p>
    <w:p w:rsidR="001E5224" w:rsidRPr="001E5224" w:rsidRDefault="001E5224" w:rsidP="001E522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1E5224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es-UY"/>
        </w:rPr>
        <w:t>--</w:t>
      </w:r>
      <w:r w:rsidRPr="001E5224">
        <w:rPr>
          <w:rFonts w:ascii="Calibri" w:eastAsia="Times New Roman" w:hAnsi="Calibri" w:cs="Calibri"/>
          <w:color w:val="000000"/>
          <w:sz w:val="16"/>
          <w:lang w:eastAsia="es-UY"/>
        </w:rPr>
        <w:t> </w:t>
      </w:r>
    </w:p>
    <w:p w:rsidR="001E5224" w:rsidRPr="001E5224" w:rsidRDefault="001E5224" w:rsidP="001E5224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16"/>
          <w:szCs w:val="16"/>
          <w:lang w:eastAsia="es-UY"/>
        </w:rPr>
      </w:pP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*"El Terror se basa en la incomunicación. Rompa el aislamiento. Vuelva a</w:t>
      </w:r>
      <w:r w:rsidRPr="001E5224">
        <w:rPr>
          <w:rFonts w:ascii="Calibri" w:eastAsia="Times New Roman" w:hAnsi="Calibri" w:cs="Calibri"/>
          <w:color w:val="000000"/>
          <w:sz w:val="16"/>
          <w:lang w:eastAsia="es-UY"/>
        </w:rPr>
        <w:t> 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sentir la satisfacción moral de un acto de libertad" Rodolfo Walsh.*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*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 *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 xml:space="preserve">*Paulina Acevedo </w:t>
      </w:r>
      <w:proofErr w:type="spellStart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Menanteau</w:t>
      </w:r>
      <w:proofErr w:type="spellEnd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*Periodista, Comunicadora en DDHH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Coordinadora Área de Comunicaciones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Observatorio Ciudadano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(56-45) 213 963 / (56-9) 8.9006510</w:t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proofErr w:type="spellStart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skype</w:t>
      </w:r>
      <w:proofErr w:type="spellEnd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 xml:space="preserve"> / </w:t>
      </w:r>
      <w:proofErr w:type="spellStart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twitter</w:t>
      </w:r>
      <w:proofErr w:type="spellEnd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 xml:space="preserve">: </w:t>
      </w:r>
      <w:proofErr w:type="spellStart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paulinaacevedom</w:t>
      </w:r>
      <w:proofErr w:type="spellEnd"/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r w:rsidRPr="001E5224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hyperlink r:id="rId4" w:tgtFrame="_blank" w:history="1">
        <w:r w:rsidRPr="001E5224">
          <w:rPr>
            <w:rFonts w:ascii="Calibri" w:eastAsia="Times New Roman" w:hAnsi="Calibri" w:cs="Calibri"/>
            <w:color w:val="1155CC"/>
            <w:sz w:val="16"/>
            <w:u w:val="single"/>
            <w:lang w:eastAsia="es-UY"/>
          </w:rPr>
          <w:t>www.observatorio.cl</w:t>
        </w:r>
      </w:hyperlink>
    </w:p>
    <w:tbl>
      <w:tblPr>
        <w:tblW w:w="6493" w:type="dxa"/>
        <w:tblCellSpacing w:w="0" w:type="dxa"/>
        <w:tblBorders>
          <w:top w:val="dotted" w:sz="4" w:space="0" w:color="C8C8C8"/>
          <w:bottom w:val="dotted" w:sz="4" w:space="0" w:color="C8C8C8"/>
        </w:tblBorders>
        <w:shd w:val="clear" w:color="auto" w:fill="FFFFFF"/>
        <w:tblCellMar>
          <w:top w:w="200" w:type="dxa"/>
          <w:left w:w="15" w:type="dxa"/>
          <w:bottom w:w="200" w:type="dxa"/>
          <w:right w:w="15" w:type="dxa"/>
        </w:tblCellMar>
        <w:tblLook w:val="04A0"/>
      </w:tblPr>
      <w:tblGrid>
        <w:gridCol w:w="2500"/>
        <w:gridCol w:w="3993"/>
      </w:tblGrid>
      <w:tr w:rsidR="001E5224" w:rsidRPr="001E5224" w:rsidTr="001E5224">
        <w:trPr>
          <w:tblCellSpacing w:w="0" w:type="dxa"/>
        </w:trPr>
        <w:tc>
          <w:tcPr>
            <w:tcW w:w="2500" w:type="dxa"/>
            <w:shd w:val="clear" w:color="auto" w:fill="FFFFFF"/>
            <w:tcMar>
              <w:top w:w="200" w:type="dxa"/>
              <w:left w:w="15" w:type="dxa"/>
              <w:bottom w:w="200" w:type="dxa"/>
              <w:right w:w="200" w:type="dxa"/>
            </w:tcMar>
            <w:hideMark/>
          </w:tcPr>
          <w:p w:rsidR="001E5224" w:rsidRPr="001E5224" w:rsidRDefault="001E5224" w:rsidP="001E5224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224" w:rsidRPr="001E5224" w:rsidRDefault="001E5224" w:rsidP="001E5224">
            <w:pPr>
              <w:spacing w:line="210" w:lineRule="atLeast"/>
              <w:jc w:val="left"/>
              <w:rPr>
                <w:rFonts w:ascii="Segoe UI Light" w:eastAsia="Times New Roman" w:hAnsi="Segoe UI Light" w:cs="Segoe UI Light"/>
                <w:color w:val="911844"/>
                <w:sz w:val="21"/>
                <w:szCs w:val="21"/>
                <w:lang w:eastAsia="es-UY"/>
              </w:rPr>
            </w:pPr>
            <w:hyperlink r:id="rId5" w:tgtFrame="_blank" w:history="1">
              <w:r w:rsidRPr="001E5224">
                <w:rPr>
                  <w:rFonts w:ascii="Segoe UI Light" w:eastAsia="Times New Roman" w:hAnsi="Segoe UI Light" w:cs="Segoe UI Light"/>
                  <w:color w:val="1155CC"/>
                  <w:sz w:val="21"/>
                  <w:u w:val="single"/>
                  <w:lang w:eastAsia="es-UY"/>
                </w:rPr>
                <w:t>Observatorio</w:t>
              </w:r>
            </w:hyperlink>
          </w:p>
          <w:p w:rsidR="001E5224" w:rsidRPr="001E5224" w:rsidRDefault="001E5224" w:rsidP="001E5224">
            <w:pPr>
              <w:spacing w:line="140" w:lineRule="atLeast"/>
              <w:jc w:val="left"/>
              <w:rPr>
                <w:rFonts w:ascii="Segoe UI" w:eastAsia="Times New Roman" w:hAnsi="Segoe UI" w:cs="Segoe UI"/>
                <w:color w:val="666666"/>
                <w:sz w:val="14"/>
                <w:szCs w:val="14"/>
                <w:lang w:eastAsia="es-UY"/>
              </w:rPr>
            </w:pPr>
            <w:hyperlink r:id="rId6" w:tgtFrame="_blank" w:history="1">
              <w:r w:rsidRPr="001E5224">
                <w:rPr>
                  <w:rFonts w:ascii="Segoe UI" w:eastAsia="Times New Roman" w:hAnsi="Segoe UI" w:cs="Segoe UI"/>
                  <w:color w:val="1155CC"/>
                  <w:sz w:val="14"/>
                  <w:u w:val="single"/>
                  <w:lang w:eastAsia="es-UY"/>
                </w:rPr>
                <w:t>www.observatorio.cl</w:t>
              </w:r>
            </w:hyperlink>
          </w:p>
          <w:p w:rsidR="001E5224" w:rsidRPr="001E5224" w:rsidRDefault="001E5224" w:rsidP="001E5224">
            <w:pPr>
              <w:spacing w:line="200" w:lineRule="atLeast"/>
              <w:jc w:val="left"/>
              <w:rPr>
                <w:rFonts w:ascii="Segoe UI" w:eastAsia="Times New Roman" w:hAnsi="Segoe UI" w:cs="Segoe UI"/>
                <w:color w:val="666666"/>
                <w:sz w:val="14"/>
                <w:szCs w:val="14"/>
                <w:lang w:eastAsia="es-UY"/>
              </w:rPr>
            </w:pPr>
            <w:r w:rsidRPr="001E5224">
              <w:rPr>
                <w:rFonts w:ascii="Segoe UI" w:eastAsia="Times New Roman" w:hAnsi="Segoe UI" w:cs="Segoe UI"/>
                <w:color w:val="666666"/>
                <w:sz w:val="14"/>
                <w:szCs w:val="14"/>
                <w:lang w:eastAsia="es-UY"/>
              </w:rPr>
              <w:t xml:space="preserve">Publicado 13 diciembre 2016 Organizaciones solicitan a la CIDH informe temático sobre afectación de acuerdos comerciales a DDHH Por </w:t>
            </w:r>
            <w:proofErr w:type="spellStart"/>
            <w:r w:rsidRPr="001E5224">
              <w:rPr>
                <w:rFonts w:ascii="Segoe UI" w:eastAsia="Times New Roman" w:hAnsi="Segoe UI" w:cs="Segoe UI"/>
                <w:color w:val="666666"/>
                <w:sz w:val="14"/>
                <w:szCs w:val="14"/>
                <w:lang w:eastAsia="es-UY"/>
              </w:rPr>
              <w:t>Por</w:t>
            </w:r>
            <w:proofErr w:type="spellEnd"/>
            <w:r w:rsidRPr="001E5224">
              <w:rPr>
                <w:rFonts w:ascii="Segoe UI" w:eastAsia="Times New Roman" w:hAnsi="Segoe UI" w:cs="Segoe UI"/>
                <w:color w:val="666666"/>
                <w:sz w:val="14"/>
                <w:szCs w:val="14"/>
                <w:lang w:eastAsia="es-UY"/>
              </w:rPr>
              <w:t xml:space="preserve"> Paulina Acevedo M ...</w:t>
            </w:r>
          </w:p>
        </w:tc>
      </w:tr>
    </w:tbl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E5224"/>
    <w:rsid w:val="001E5224"/>
    <w:rsid w:val="00221703"/>
    <w:rsid w:val="0086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E5224"/>
  </w:style>
  <w:style w:type="character" w:styleId="Hipervnculo">
    <w:name w:val="Hyperlink"/>
    <w:basedOn w:val="Fuentedeprrafopredeter"/>
    <w:uiPriority w:val="99"/>
    <w:semiHidden/>
    <w:unhideWhenUsed/>
    <w:rsid w:val="001E52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4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3872">
                  <w:marLeft w:val="0"/>
                  <w:marRight w:val="0"/>
                  <w:marTop w:val="10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servatorio.cl/" TargetMode="External"/><Relationship Id="rId5" Type="http://schemas.openxmlformats.org/officeDocument/2006/relationships/hyperlink" Target="http://www.observatorio.cl/" TargetMode="External"/><Relationship Id="rId4" Type="http://schemas.openxmlformats.org/officeDocument/2006/relationships/hyperlink" Target="http://www.observatorio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2016-12-26T12:32:00Z</dcterms:created>
  <dcterms:modified xsi:type="dcterms:W3CDTF">2016-12-26T12:33:00Z</dcterms:modified>
</cp:coreProperties>
</file>