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4A" w:rsidRDefault="005E047D">
      <w:pPr>
        <w:numPr>
          <w:ilvl w:val="0"/>
          <w:numId w:val="1"/>
        </w:numPr>
        <w:shd w:val="clear" w:color="auto" w:fill="FFFFFF"/>
        <w:tabs>
          <w:tab w:val="left" w:pos="720"/>
        </w:tabs>
        <w:spacing w:before="100" w:after="100" w:line="480" w:lineRule="atLeast"/>
        <w:ind w:left="-675"/>
        <w:jc w:val="center"/>
        <w:rPr>
          <w:rFonts w:ascii="Times New Roman" w:eastAsia="Times New Roman" w:hAnsi="Times New Roman"/>
          <w:caps/>
          <w:color w:val="666666"/>
          <w:sz w:val="24"/>
          <w:szCs w:val="24"/>
          <w:lang w:eastAsia="es-ES"/>
        </w:rPr>
      </w:pPr>
      <w:bookmarkStart w:id="0" w:name="_GoBack"/>
      <w:bookmarkEnd w:id="0"/>
      <w:r>
        <w:rPr>
          <w:rFonts w:ascii="Times New Roman" w:eastAsia="Times New Roman" w:hAnsi="Times New Roman"/>
          <w:caps/>
          <w:color w:val="666666"/>
          <w:sz w:val="24"/>
          <w:szCs w:val="24"/>
          <w:lang w:eastAsia="es-ES"/>
        </w:rPr>
        <w:t>DOMINGO, 12 DE FEBRERO DE 2017</w:t>
      </w:r>
    </w:p>
    <w:p w:rsidR="002D624A" w:rsidRDefault="005E047D">
      <w:pPr>
        <w:shd w:val="clear" w:color="auto" w:fill="FFFFFF"/>
        <w:spacing w:after="75" w:line="240" w:lineRule="auto"/>
        <w:jc w:val="center"/>
      </w:pPr>
      <w:r>
        <w:rPr>
          <w:rFonts w:ascii="Times New Roman" w:eastAsia="Times New Roman" w:hAnsi="Times New Roman"/>
          <w:b/>
          <w:bCs/>
          <w:noProof/>
          <w:color w:val="232323"/>
          <w:spacing w:val="-6"/>
          <w:kern w:val="3"/>
          <w:sz w:val="60"/>
          <w:szCs w:val="60"/>
          <w:lang w:val="es-UY" w:eastAsia="es-UY"/>
        </w:rPr>
        <w:drawing>
          <wp:inline distT="0" distB="0" distL="0" distR="0">
            <wp:extent cx="4114800" cy="571500"/>
            <wp:effectExtent l="0" t="0" r="0" b="0"/>
            <wp:docPr id="1" name="Imagen 1" descr="Diario de Ferro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114800" cy="571500"/>
                    </a:xfrm>
                    <a:prstGeom prst="rect">
                      <a:avLst/>
                    </a:prstGeom>
                    <a:noFill/>
                    <a:ln>
                      <a:noFill/>
                      <a:prstDash/>
                    </a:ln>
                  </pic:spPr>
                </pic:pic>
              </a:graphicData>
            </a:graphic>
          </wp:inline>
        </w:drawing>
      </w:r>
    </w:p>
    <w:p w:rsidR="002D624A" w:rsidRDefault="005E047D">
      <w:pPr>
        <w:spacing w:after="0" w:line="240" w:lineRule="auto"/>
      </w:pPr>
      <w:r>
        <w:rPr>
          <w:rFonts w:ascii="Arial" w:eastAsia="Times New Roman" w:hAnsi="Arial" w:cs="Arial"/>
          <w:b/>
          <w:bCs/>
          <w:noProof/>
          <w:color w:val="232323"/>
          <w:spacing w:val="-12"/>
          <w:sz w:val="23"/>
          <w:szCs w:val="23"/>
          <w:lang w:val="es-UY" w:eastAsia="es-UY"/>
        </w:rPr>
        <w:drawing>
          <wp:inline distT="0" distB="0" distL="0" distR="0">
            <wp:extent cx="1047746" cy="1095378"/>
            <wp:effectExtent l="0" t="0" r="4" b="9522"/>
            <wp:docPr id="2" name="Imagen 2" descr="Xoán        Rub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47746" cy="1095378"/>
                    </a:xfrm>
                    <a:prstGeom prst="rect">
                      <a:avLst/>
                    </a:prstGeom>
                    <a:noFill/>
                    <a:ln>
                      <a:noFill/>
                      <a:prstDash/>
                    </a:ln>
                  </pic:spPr>
                </pic:pic>
              </a:graphicData>
            </a:graphic>
          </wp:inline>
        </w:drawing>
      </w:r>
    </w:p>
    <w:p w:rsidR="002D624A" w:rsidRDefault="005E047D">
      <w:pPr>
        <w:spacing w:after="150" w:line="240" w:lineRule="auto"/>
        <w:rPr>
          <w:rFonts w:ascii="Arial" w:eastAsia="Times New Roman" w:hAnsi="Arial" w:cs="Arial"/>
          <w:color w:val="333333"/>
          <w:spacing w:val="-12"/>
          <w:kern w:val="3"/>
          <w:sz w:val="55"/>
          <w:szCs w:val="55"/>
          <w:lang w:eastAsia="es-ES"/>
        </w:rPr>
      </w:pPr>
      <w:r>
        <w:rPr>
          <w:rFonts w:ascii="Arial" w:eastAsia="Times New Roman" w:hAnsi="Arial" w:cs="Arial"/>
          <w:color w:val="333333"/>
          <w:spacing w:val="-12"/>
          <w:kern w:val="3"/>
          <w:sz w:val="55"/>
          <w:szCs w:val="55"/>
          <w:lang w:eastAsia="es-ES"/>
        </w:rPr>
        <w:t>O profesor Tamayo e a Liberación</w:t>
      </w:r>
    </w:p>
    <w:p w:rsidR="002D624A" w:rsidRDefault="005E047D">
      <w:pPr>
        <w:spacing w:after="0" w:line="240" w:lineRule="auto"/>
      </w:pPr>
      <w:hyperlink r:id="rId9" w:history="1">
        <w:r>
          <w:rPr>
            <w:rFonts w:ascii="Times New Roman" w:eastAsia="Times New Roman" w:hAnsi="Times New Roman"/>
            <w:b/>
            <w:bCs/>
            <w:caps/>
            <w:color w:val="232323"/>
            <w:spacing w:val="-12"/>
            <w:sz w:val="23"/>
            <w:szCs w:val="23"/>
            <w:u w:val="single"/>
            <w:lang w:eastAsia="es-ES"/>
          </w:rPr>
          <w:t>XOÁN RUBIA</w:t>
        </w:r>
      </w:hyperlink>
    </w:p>
    <w:p w:rsidR="002D624A" w:rsidRDefault="005E047D">
      <w:pPr>
        <w:spacing w:after="0" w:line="240" w:lineRule="auto"/>
        <w:textAlignment w:val="center"/>
      </w:pPr>
      <w:r>
        <w:rPr>
          <w:rFonts w:ascii="Oxygen" w:eastAsia="Times New Roman" w:hAnsi="Oxygen" w:cs="Arial"/>
          <w:b/>
          <w:bCs/>
          <w:caps/>
          <w:color w:val="999999"/>
          <w:sz w:val="18"/>
          <w:szCs w:val="18"/>
          <w:lang w:eastAsia="es-ES"/>
        </w:rPr>
        <w:t xml:space="preserve">12 DE FEBRERO DE </w:t>
      </w:r>
      <w:r>
        <w:rPr>
          <w:rFonts w:ascii="Oxygen" w:eastAsia="Times New Roman" w:hAnsi="Oxygen" w:cs="Arial"/>
          <w:b/>
          <w:bCs/>
          <w:caps/>
          <w:color w:val="999999"/>
          <w:sz w:val="18"/>
          <w:szCs w:val="18"/>
          <w:lang w:eastAsia="es-ES"/>
        </w:rPr>
        <w:t>2017(00:30 H.)</w:t>
      </w:r>
    </w:p>
    <w:p w:rsidR="002D624A" w:rsidRDefault="005E047D">
      <w:pPr>
        <w:numPr>
          <w:ilvl w:val="0"/>
          <w:numId w:val="2"/>
        </w:numPr>
        <w:shd w:val="clear" w:color="auto" w:fill="FFFFFF"/>
        <w:tabs>
          <w:tab w:val="left" w:pos="720"/>
        </w:tabs>
        <w:spacing w:before="100" w:line="240" w:lineRule="auto"/>
        <w:ind w:left="-450"/>
        <w:jc w:val="center"/>
      </w:pPr>
      <w:hyperlink r:id="rId10" w:tooltip="Imprimir esta página" w:history="1">
        <w:r>
          <w:rPr>
            <w:rFonts w:ascii="Times New Roman" w:eastAsia="Times New Roman" w:hAnsi="Times New Roman"/>
            <w:color w:val="444444"/>
            <w:sz w:val="21"/>
            <w:szCs w:val="21"/>
            <w:lang w:eastAsia="es-ES"/>
          </w:rPr>
          <w:t> </w:t>
        </w:r>
        <w:r>
          <w:rPr>
            <w:rFonts w:ascii="Arial" w:eastAsia="Times New Roman" w:hAnsi="Arial" w:cs="Arial"/>
            <w:b/>
            <w:bCs/>
            <w:color w:val="333333"/>
            <w:sz w:val="18"/>
            <w:szCs w:val="18"/>
            <w:shd w:val="clear" w:color="auto" w:fill="FFFFFF"/>
            <w:lang w:eastAsia="es-ES"/>
          </w:rPr>
          <w:t> </w:t>
        </w:r>
      </w:hyperlink>
    </w:p>
    <w:p w:rsidR="002D624A" w:rsidRDefault="005E047D">
      <w:pPr>
        <w:spacing w:after="240" w:line="394" w:lineRule="atLeast"/>
        <w:rPr>
          <w:rFonts w:ascii="Arial" w:eastAsia="Times New Roman" w:hAnsi="Arial" w:cs="Arial"/>
          <w:color w:val="444444"/>
          <w:sz w:val="21"/>
          <w:szCs w:val="21"/>
          <w:lang w:eastAsia="es-ES"/>
        </w:rPr>
      </w:pPr>
      <w:r>
        <w:rPr>
          <w:rFonts w:ascii="Arial" w:eastAsia="Times New Roman" w:hAnsi="Arial" w:cs="Arial"/>
          <w:color w:val="444444"/>
          <w:sz w:val="21"/>
          <w:szCs w:val="21"/>
          <w:lang w:eastAsia="es-ES"/>
        </w:rPr>
        <w:t xml:space="preserve">O interese que espertou a conferencia de Juan José Tamayo que o Club de Prensa organizou no Ateneo, </w:t>
      </w:r>
      <w:r>
        <w:rPr>
          <w:rFonts w:ascii="Arial" w:eastAsia="Times New Roman" w:hAnsi="Arial" w:cs="Arial"/>
          <w:color w:val="444444"/>
          <w:sz w:val="21"/>
          <w:szCs w:val="21"/>
          <w:lang w:eastAsia="es-ES"/>
        </w:rPr>
        <w:t>quedou amosado polo numeroso público que acudiu á cita. O tema era o suficientemente atractivo e o profesor Tamayo moi coñecido polo seu compromiso como teólogo da chamada Teoloxía da Liberación, que poderíamos definila como unha teoría revolucionaria cuxo</w:t>
      </w:r>
      <w:r>
        <w:rPr>
          <w:rFonts w:ascii="Arial" w:eastAsia="Times New Roman" w:hAnsi="Arial" w:cs="Arial"/>
          <w:color w:val="444444"/>
          <w:sz w:val="21"/>
          <w:szCs w:val="21"/>
          <w:lang w:eastAsia="es-ES"/>
        </w:rPr>
        <w:t>s postulados non teñen relación e xa que logo nada que ver co sentido de violencia que moitas veces lle damos á palabra revolución. A Teoloxía da Liberación resulta ser unha das correntes máis creativas na história do cristianismo e o profesor Tamayo un do</w:t>
      </w:r>
      <w:r>
        <w:rPr>
          <w:rFonts w:ascii="Arial" w:eastAsia="Times New Roman" w:hAnsi="Arial" w:cs="Arial"/>
          <w:color w:val="444444"/>
          <w:sz w:val="21"/>
          <w:szCs w:val="21"/>
          <w:lang w:eastAsia="es-ES"/>
        </w:rPr>
        <w:t xml:space="preserve">s seus defensores máis activos que loita, dende unha perspectiva utópica, pola defensa dos axiomas dun mundo máis xusto para todos dentro desta “nai terra” na que vivimos. A filosofía da Teoloxía da Liberación ten unha longa história, malia nacer como tal </w:t>
      </w:r>
      <w:r>
        <w:rPr>
          <w:rFonts w:ascii="Arial" w:eastAsia="Times New Roman" w:hAnsi="Arial" w:cs="Arial"/>
          <w:color w:val="444444"/>
          <w:sz w:val="21"/>
          <w:szCs w:val="21"/>
          <w:lang w:eastAsia="es-ES"/>
        </w:rPr>
        <w:t>hai corenta anos. Hai dous mil anos alguén chamado Xesús de Nazaret sementou os pricipios, púxose do lado dos pobres e comenzou unha loita desigual contra o sistema establecido; e iso levouno ao martirio, calvario que se prolongou no tempo ata os nosos día</w:t>
      </w:r>
      <w:r>
        <w:rPr>
          <w:rFonts w:ascii="Arial" w:eastAsia="Times New Roman" w:hAnsi="Arial" w:cs="Arial"/>
          <w:color w:val="444444"/>
          <w:sz w:val="21"/>
          <w:szCs w:val="21"/>
          <w:lang w:eastAsia="es-ES"/>
        </w:rPr>
        <w:t>s. O asasinato de seis xesuítas e dúas mulleres, nai e filla, nas dependencias da Universidade Católica do Salvaror en 1989 acredita a inquina que ten o poder diante de movementos sociais incómodos. O paradoxo é que as altas instancias da institución ecles</w:t>
      </w:r>
      <w:r>
        <w:rPr>
          <w:rFonts w:ascii="Arial" w:eastAsia="Times New Roman" w:hAnsi="Arial" w:cs="Arial"/>
          <w:color w:val="444444"/>
          <w:sz w:val="21"/>
          <w:szCs w:val="21"/>
          <w:lang w:eastAsia="es-ES"/>
        </w:rPr>
        <w:t>iastica naquel momento chegaron á conclusión que aqueles relixiosos se desviaran das súas funcións, manifestando que se puxeran do lado da guerrillla e que, en certo modo, o tiñan merecido. Esta actitude amosa ata que punto a igrexa “oficial” estaba e está</w:t>
      </w:r>
      <w:r>
        <w:rPr>
          <w:rFonts w:ascii="Arial" w:eastAsia="Times New Roman" w:hAnsi="Arial" w:cs="Arial"/>
          <w:color w:val="444444"/>
          <w:sz w:val="21"/>
          <w:szCs w:val="21"/>
          <w:lang w:eastAsia="es-ES"/>
        </w:rPr>
        <w:t xml:space="preserve"> do lado do poder. Aqueles asasinatos producíronse porque eses homes exerceron unha conciencia crítica que resultaba contraria aos intereses da oligarquía militar. E o Vaticano mirou para outro lado, dicindo que a Teoloxía da Liberación era marxista, e mir</w:t>
      </w:r>
      <w:r>
        <w:rPr>
          <w:rFonts w:ascii="Arial" w:eastAsia="Times New Roman" w:hAnsi="Arial" w:cs="Arial"/>
          <w:color w:val="444444"/>
          <w:sz w:val="21"/>
          <w:szCs w:val="21"/>
          <w:lang w:eastAsia="es-ES"/>
        </w:rPr>
        <w:t xml:space="preserve">en por onde </w:t>
      </w:r>
      <w:r>
        <w:rPr>
          <w:rFonts w:ascii="Arial" w:eastAsia="Times New Roman" w:hAnsi="Arial" w:cs="Arial"/>
          <w:color w:val="444444"/>
          <w:sz w:val="21"/>
          <w:szCs w:val="21"/>
          <w:lang w:eastAsia="es-ES"/>
        </w:rPr>
        <w:lastRenderedPageBreak/>
        <w:t>esa aseveración tiña algo de certo pois non cabe dúbida que o marxismo fixo excelentes achegas a esta teoloxía malia que a cousa, como xa dixen, ten os seus orixes moito máis atrás en alguén chamado Xesús de Nazaret.  Hoxe a Teoloxía da Liberac</w:t>
      </w:r>
      <w:r>
        <w:rPr>
          <w:rFonts w:ascii="Arial" w:eastAsia="Times New Roman" w:hAnsi="Arial" w:cs="Arial"/>
          <w:color w:val="444444"/>
          <w:sz w:val="21"/>
          <w:szCs w:val="21"/>
          <w:lang w:eastAsia="es-ES"/>
        </w:rPr>
        <w:t>ión abarca novas e importantes tendencias como a teoloxía feminista, a ecolóxica ou a campesiña e económica. O profesor Tamayo, en resposta ao título da súa conferencia: “Ten futuro ou está morta a Teoloxía da Liberación?” fixo fincapé en acreditar que aqu</w:t>
      </w:r>
      <w:r>
        <w:rPr>
          <w:rFonts w:ascii="Arial" w:eastAsia="Times New Roman" w:hAnsi="Arial" w:cs="Arial"/>
          <w:color w:val="444444"/>
          <w:sz w:val="21"/>
          <w:szCs w:val="21"/>
          <w:lang w:eastAsia="es-ES"/>
        </w:rPr>
        <w:t xml:space="preserve">eles que intentaron matala, a enterraron viva, non estaba ben morta. Hoxe rexurde coma unha teoloxía contrahexemónica, como unha teoloxía crítica do imperialismo teolóxico, premisas ideolóxicas que atopan no Vaticano aos seus principais enimigos que fan o </w:t>
      </w:r>
      <w:r>
        <w:rPr>
          <w:rFonts w:ascii="Arial" w:eastAsia="Times New Roman" w:hAnsi="Arial" w:cs="Arial"/>
          <w:color w:val="444444"/>
          <w:sz w:val="21"/>
          <w:szCs w:val="21"/>
          <w:lang w:eastAsia="es-ES"/>
        </w:rPr>
        <w:t xml:space="preserve">posible para que non maduren. Sen embargo o papa Francisco nos seus xestos semella sintonizar coa Teoloxía da Liberación e a diferencia, por exemplo, de Juan Pablo II que da a comunión a Pinochet en Santiago de Chile, adopta unha postura crítica fronte ao </w:t>
      </w:r>
      <w:r>
        <w:rPr>
          <w:rFonts w:ascii="Arial" w:eastAsia="Times New Roman" w:hAnsi="Arial" w:cs="Arial"/>
          <w:color w:val="444444"/>
          <w:sz w:val="21"/>
          <w:szCs w:val="21"/>
          <w:lang w:eastAsia="es-ES"/>
        </w:rPr>
        <w:t>neoliberalismo, recibe en Roma a Gustavo Gutiérrez (pai da Teoloxía da Liberación), chama a atención a corenta bispos en México por estar co poder en vez de estar cos pobres...etc. Concluiu o eminente teólogo a súa conferencia diciendo que a Teoloxía da Li</w:t>
      </w:r>
      <w:r>
        <w:rPr>
          <w:rFonts w:ascii="Arial" w:eastAsia="Times New Roman" w:hAnsi="Arial" w:cs="Arial"/>
          <w:color w:val="444444"/>
          <w:sz w:val="21"/>
          <w:szCs w:val="21"/>
          <w:lang w:eastAsia="es-ES"/>
        </w:rPr>
        <w:t>beración tivo un fructífero pasado, un operativo presente e intúeselle un futuro máis luminoso que na etapa anterior. Un animado e interesante coloquio puxo fin á esta cita da que os asistentes saíron, polo visto e oído, moi satisfeitos. Sen dúbida.</w:t>
      </w:r>
    </w:p>
    <w:p w:rsidR="002D624A" w:rsidRDefault="002D624A"/>
    <w:sectPr w:rsidR="002D624A">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7D" w:rsidRDefault="005E047D">
      <w:pPr>
        <w:spacing w:after="0" w:line="240" w:lineRule="auto"/>
      </w:pPr>
      <w:r>
        <w:separator/>
      </w:r>
    </w:p>
  </w:endnote>
  <w:endnote w:type="continuationSeparator" w:id="0">
    <w:p w:rsidR="005E047D" w:rsidRDefault="005E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xyge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7D" w:rsidRDefault="005E047D">
      <w:pPr>
        <w:spacing w:after="0" w:line="240" w:lineRule="auto"/>
      </w:pPr>
      <w:r>
        <w:rPr>
          <w:color w:val="000000"/>
        </w:rPr>
        <w:separator/>
      </w:r>
    </w:p>
  </w:footnote>
  <w:footnote w:type="continuationSeparator" w:id="0">
    <w:p w:rsidR="005E047D" w:rsidRDefault="005E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4EB1"/>
    <w:multiLevelType w:val="multilevel"/>
    <w:tmpl w:val="540A5C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6439392D"/>
    <w:multiLevelType w:val="multilevel"/>
    <w:tmpl w:val="76B684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D624A"/>
    <w:rsid w:val="002D624A"/>
    <w:rsid w:val="005E047D"/>
    <w:rsid w:val="00E305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9B765-59A7-460E-91D0-D72D01A7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iariodeferrol.com/content/print/profesor-tamayo-liberacion/20170211235639180424" TargetMode="External"/><Relationship Id="rId4" Type="http://schemas.openxmlformats.org/officeDocument/2006/relationships/webSettings" Target="webSettings.xml"/><Relationship Id="rId9" Type="http://schemas.openxmlformats.org/officeDocument/2006/relationships/hyperlink" Target="http://www.diariodeferrol.com/opinion/autor/000048/xoan-ru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Rosario Hermano</cp:lastModifiedBy>
  <cp:revision>2</cp:revision>
  <dcterms:created xsi:type="dcterms:W3CDTF">2017-02-17T13:31:00Z</dcterms:created>
  <dcterms:modified xsi:type="dcterms:W3CDTF">2017-02-17T13:31:00Z</dcterms:modified>
</cp:coreProperties>
</file>