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74" w:rsidRDefault="001A16DE">
      <w:pPr>
        <w:spacing w:line="360" w:lineRule="auto"/>
        <w:jc w:val="center"/>
        <w:rPr>
          <w:rFonts w:ascii="Times New Roman" w:hAnsi="Times New Roman"/>
          <w:b/>
          <w:sz w:val="24"/>
          <w:szCs w:val="24"/>
        </w:rPr>
      </w:pPr>
      <w:bookmarkStart w:id="0" w:name="_GoBack"/>
      <w:bookmarkEnd w:id="0"/>
      <w:r>
        <w:rPr>
          <w:rFonts w:ascii="Times New Roman" w:hAnsi="Times New Roman"/>
          <w:b/>
          <w:sz w:val="24"/>
          <w:szCs w:val="24"/>
        </w:rPr>
        <w:t>FRANCISCO: CUATRO AÑOS DESPUÉS</w:t>
      </w:r>
    </w:p>
    <w:p w:rsidR="00F84274" w:rsidRDefault="001A16DE">
      <w:pPr>
        <w:spacing w:line="360" w:lineRule="auto"/>
        <w:jc w:val="center"/>
        <w:rPr>
          <w:rFonts w:ascii="Times New Roman" w:hAnsi="Times New Roman"/>
          <w:b/>
          <w:sz w:val="24"/>
          <w:szCs w:val="24"/>
        </w:rPr>
      </w:pPr>
      <w:r>
        <w:rPr>
          <w:rFonts w:ascii="Times New Roman" w:hAnsi="Times New Roman"/>
          <w:b/>
          <w:sz w:val="24"/>
          <w:szCs w:val="24"/>
        </w:rPr>
        <w:t>Economía, ecología, reforma de la Iglesia y patriarcado</w:t>
      </w:r>
    </w:p>
    <w:p w:rsidR="00F84274" w:rsidRDefault="001A16DE">
      <w:pPr>
        <w:spacing w:line="360" w:lineRule="auto"/>
        <w:jc w:val="center"/>
        <w:rPr>
          <w:rFonts w:ascii="Times New Roman" w:hAnsi="Times New Roman"/>
          <w:b/>
          <w:sz w:val="24"/>
          <w:szCs w:val="24"/>
        </w:rPr>
      </w:pPr>
      <w:r>
        <w:rPr>
          <w:rFonts w:ascii="Times New Roman" w:hAnsi="Times New Roman"/>
          <w:b/>
          <w:sz w:val="24"/>
          <w:szCs w:val="24"/>
        </w:rPr>
        <w:t>JUAN JOSÉ TAMAYO</w:t>
      </w:r>
    </w:p>
    <w:p w:rsidR="00F84274" w:rsidRDefault="001A16DE">
      <w:pPr>
        <w:spacing w:line="360" w:lineRule="auto"/>
        <w:jc w:val="center"/>
      </w:pPr>
      <w:r>
        <w:rPr>
          <w:rFonts w:ascii="Times New Roman" w:hAnsi="Times New Roman"/>
          <w:b/>
          <w:sz w:val="24"/>
          <w:szCs w:val="24"/>
        </w:rPr>
        <w:t xml:space="preserve">Director de la Cátedra de teología y Ciencias de las Religiones “Ignacio </w:t>
      </w:r>
      <w:r>
        <w:rPr>
          <w:rFonts w:ascii="Times New Roman" w:hAnsi="Times New Roman"/>
          <w:b/>
          <w:sz w:val="24"/>
          <w:szCs w:val="24"/>
        </w:rPr>
        <w:t xml:space="preserve">Ellacuría”. Universidad Carlos III de Madrid y autor </w:t>
      </w:r>
      <w:r>
        <w:rPr>
          <w:rFonts w:ascii="Times New Roman" w:hAnsi="Times New Roman"/>
          <w:sz w:val="24"/>
          <w:szCs w:val="24"/>
        </w:rPr>
        <w:t xml:space="preserve">de </w:t>
      </w:r>
      <w:r>
        <w:rPr>
          <w:rFonts w:ascii="Times New Roman" w:hAnsi="Times New Roman"/>
          <w:b/>
          <w:i/>
          <w:sz w:val="24"/>
          <w:szCs w:val="24"/>
        </w:rPr>
        <w:t>Invitación a la utopía. Ensayo histórico para tiempos de crisis</w:t>
      </w:r>
      <w:r>
        <w:rPr>
          <w:rFonts w:ascii="Times New Roman" w:hAnsi="Times New Roman"/>
          <w:b/>
          <w:sz w:val="24"/>
          <w:szCs w:val="24"/>
        </w:rPr>
        <w:t>, Editorial Trotta</w:t>
      </w:r>
    </w:p>
    <w:p w:rsidR="00F84274" w:rsidRDefault="001A16DE">
      <w:pPr>
        <w:spacing w:line="360" w:lineRule="auto"/>
        <w:jc w:val="both"/>
      </w:pPr>
      <w:r>
        <w:rPr>
          <w:rFonts w:ascii="Times New Roman" w:hAnsi="Times New Roman"/>
          <w:b/>
          <w:sz w:val="24"/>
          <w:szCs w:val="24"/>
        </w:rPr>
        <w:tab/>
      </w:r>
      <w:r>
        <w:rPr>
          <w:rFonts w:ascii="Times New Roman" w:hAnsi="Times New Roman"/>
          <w:sz w:val="24"/>
          <w:szCs w:val="24"/>
        </w:rPr>
        <w:t>Los tiempos históricos en la Iglesia católica son largos, muy largos, se hacen casi eternos. La historia parece deten</w:t>
      </w:r>
      <w:r>
        <w:rPr>
          <w:rFonts w:ascii="Times New Roman" w:hAnsi="Times New Roman"/>
          <w:sz w:val="24"/>
          <w:szCs w:val="24"/>
        </w:rPr>
        <w:t>erse. La  tendencia es a dar respuestas del pasado a preguntas del presente. Los cambios, empero, son lentos y, cuando se producen, tienen un corto recorrido y una breve duración. Así sucedió con el Concilio Vaticano II (1962-1965), convocado por Juan XXII</w:t>
      </w:r>
      <w:r>
        <w:rPr>
          <w:rFonts w:ascii="Times New Roman" w:hAnsi="Times New Roman"/>
          <w:sz w:val="24"/>
          <w:szCs w:val="24"/>
        </w:rPr>
        <w:t>I para reformar la Iglesia, que estaba anclada en el medioevo. Aquella primavera eclesial apenas duró un lustro eclesial y fue seguida por un largo periodo invernal. Francisco, empero, parece haber roto el estancamiento del tiempo eclesiástico. No ha pasad</w:t>
      </w:r>
      <w:r>
        <w:rPr>
          <w:rFonts w:ascii="Times New Roman" w:hAnsi="Times New Roman"/>
          <w:sz w:val="24"/>
          <w:szCs w:val="24"/>
        </w:rPr>
        <w:t>o un lustro desde su elección –accedió al pontificado el 13 de marzo de 2013- y ya puede hablarse de verdadera revolución –incruenta, por supuesto- o de cambio de paradigma.</w:t>
      </w:r>
    </w:p>
    <w:p w:rsidR="00F84274" w:rsidRDefault="001A16DE">
      <w:pPr>
        <w:spacing w:line="360" w:lineRule="auto"/>
        <w:jc w:val="both"/>
      </w:pPr>
      <w:r>
        <w:tab/>
      </w:r>
      <w:r>
        <w:rPr>
          <w:rFonts w:ascii="Times New Roman" w:hAnsi="Times New Roman"/>
          <w:sz w:val="24"/>
          <w:szCs w:val="24"/>
        </w:rPr>
        <w:t xml:space="preserve">Las prioridades del papa argentino distan mucho de las de sus predecesores. Juan </w:t>
      </w:r>
      <w:r>
        <w:rPr>
          <w:rFonts w:ascii="Times New Roman" w:hAnsi="Times New Roman"/>
          <w:sz w:val="24"/>
          <w:szCs w:val="24"/>
        </w:rPr>
        <w:t xml:space="preserve">Pablo II y Benedicto XVI, primero al frente de la todopoderosa </w:t>
      </w:r>
      <w:r>
        <w:rPr>
          <w:rFonts w:ascii="Times New Roman" w:hAnsi="Times New Roman"/>
          <w:i/>
          <w:sz w:val="24"/>
          <w:szCs w:val="24"/>
        </w:rPr>
        <w:t>Congregación para la Doctrina de la Fe</w:t>
      </w:r>
      <w:r>
        <w:rPr>
          <w:rFonts w:ascii="Times New Roman" w:hAnsi="Times New Roman"/>
          <w:sz w:val="24"/>
          <w:szCs w:val="24"/>
        </w:rPr>
        <w:t xml:space="preserve"> y después como papa, priorizaron, hasta la obsesión, la doctrina, la moral y la disciplina eclesiástica. La doctrina fue formulada dogmáticamente en el </w:t>
      </w:r>
      <w:r>
        <w:rPr>
          <w:rFonts w:ascii="Times New Roman" w:hAnsi="Times New Roman"/>
          <w:i/>
          <w:sz w:val="24"/>
          <w:szCs w:val="24"/>
        </w:rPr>
        <w:t>Ca</w:t>
      </w:r>
      <w:r>
        <w:rPr>
          <w:rFonts w:ascii="Times New Roman" w:hAnsi="Times New Roman"/>
          <w:i/>
          <w:sz w:val="24"/>
          <w:szCs w:val="24"/>
        </w:rPr>
        <w:t>tecismo de la Iglesia católica</w:t>
      </w:r>
      <w:r>
        <w:rPr>
          <w:rFonts w:ascii="Times New Roman" w:hAnsi="Times New Roman"/>
          <w:sz w:val="24"/>
          <w:szCs w:val="24"/>
        </w:rPr>
        <w:t xml:space="preserve"> con la consiguiente condena de las teólogas y los teólogos que se desviaban de la ortodoxia. Fue una de las épocas con más sanciones teológicas del siglo XX. </w:t>
      </w:r>
    </w:p>
    <w:p w:rsidR="00F84274" w:rsidRDefault="001A16DE">
      <w:pPr>
        <w:spacing w:line="360" w:lineRule="auto"/>
        <w:ind w:firstLine="708"/>
        <w:jc w:val="both"/>
      </w:pPr>
      <w:r>
        <w:rPr>
          <w:rFonts w:ascii="Times New Roman" w:hAnsi="Times New Roman"/>
          <w:sz w:val="24"/>
          <w:szCs w:val="24"/>
        </w:rPr>
        <w:t>La disciplina se fijó en el “nuevo” Código de Derecho Canónico con</w:t>
      </w:r>
      <w:r>
        <w:rPr>
          <w:rFonts w:ascii="Times New Roman" w:hAnsi="Times New Roman"/>
          <w:sz w:val="24"/>
          <w:szCs w:val="24"/>
        </w:rPr>
        <w:t xml:space="preserve"> sanciones y penas para los transgresores del rígido orden eclesiástico, no así contra los pederastas, que en muchos casos siguieron ejerciendo sus funciones pastorales con total impunidad con un simple cambio de actividad. La moral impuesta por los papas </w:t>
      </w:r>
      <w:r>
        <w:rPr>
          <w:rFonts w:ascii="Times New Roman" w:hAnsi="Times New Roman"/>
          <w:sz w:val="24"/>
          <w:szCs w:val="24"/>
        </w:rPr>
        <w:t>no se rigió por la ética radical del seguimiento de Jesús, sino que se redujo a “moralina” represiva de la sexualidad, negadora de las diferentes identidades sexuales que no se atuvieran a la concepción binaria y con condenas del divorcio, el aborto, la ho</w:t>
      </w:r>
      <w:r>
        <w:rPr>
          <w:rFonts w:ascii="Times New Roman" w:hAnsi="Times New Roman"/>
          <w:sz w:val="24"/>
          <w:szCs w:val="24"/>
        </w:rPr>
        <w:t xml:space="preserve">mosexualidad, los métodos anticonceptivos, las relaciones prematrimoniales, la fecundación </w:t>
      </w:r>
      <w:r>
        <w:rPr>
          <w:rFonts w:ascii="Times New Roman" w:hAnsi="Times New Roman"/>
          <w:i/>
          <w:sz w:val="24"/>
          <w:szCs w:val="24"/>
        </w:rPr>
        <w:t>in vitro</w:t>
      </w:r>
      <w:r>
        <w:rPr>
          <w:rFonts w:ascii="Times New Roman" w:hAnsi="Times New Roman"/>
          <w:sz w:val="24"/>
          <w:szCs w:val="24"/>
        </w:rPr>
        <w:t xml:space="preserve">, etc. </w:t>
      </w:r>
    </w:p>
    <w:p w:rsidR="00F84274" w:rsidRDefault="001A16DE">
      <w:pPr>
        <w:spacing w:line="360" w:lineRule="auto"/>
        <w:ind w:firstLine="708"/>
        <w:jc w:val="both"/>
      </w:pPr>
      <w:r>
        <w:rPr>
          <w:rFonts w:ascii="Times New Roman" w:hAnsi="Times New Roman"/>
          <w:sz w:val="24"/>
          <w:szCs w:val="24"/>
        </w:rPr>
        <w:lastRenderedPageBreak/>
        <w:t>Las prioridades de Francisco van en otra dirección y son la economía, la ecología y la reforma de la Iglesia. A la economía le ha dedicado la exhorta</w:t>
      </w:r>
      <w:r>
        <w:rPr>
          <w:rFonts w:ascii="Times New Roman" w:hAnsi="Times New Roman"/>
          <w:sz w:val="24"/>
          <w:szCs w:val="24"/>
        </w:rPr>
        <w:t xml:space="preserve">ción apostólica </w:t>
      </w:r>
      <w:r>
        <w:rPr>
          <w:rFonts w:ascii="Times New Roman" w:hAnsi="Times New Roman"/>
          <w:i/>
          <w:sz w:val="24"/>
          <w:szCs w:val="24"/>
        </w:rPr>
        <w:t>La alegría del Evangelio</w:t>
      </w:r>
      <w:r>
        <w:rPr>
          <w:rFonts w:ascii="Times New Roman" w:hAnsi="Times New Roman"/>
          <w:sz w:val="24"/>
          <w:szCs w:val="24"/>
        </w:rPr>
        <w:t xml:space="preserve">, a mi juicio la más severa condena del actual modelo social y económico, que califica de </w:t>
      </w:r>
      <w:r>
        <w:rPr>
          <w:rFonts w:ascii="Times New Roman" w:hAnsi="Times New Roman"/>
          <w:i/>
          <w:sz w:val="24"/>
          <w:szCs w:val="24"/>
        </w:rPr>
        <w:t>injusto en su raíz</w:t>
      </w:r>
      <w:r>
        <w:rPr>
          <w:rFonts w:ascii="Times New Roman" w:hAnsi="Times New Roman"/>
          <w:sz w:val="24"/>
          <w:szCs w:val="24"/>
        </w:rPr>
        <w:t xml:space="preserve">, al tiempo que considera la inequidad origen de los males sociales y generadora de la violencia. </w:t>
      </w:r>
      <w:r>
        <w:rPr>
          <w:rFonts w:ascii="Times New Roman" w:hAnsi="Times New Roman"/>
          <w:i/>
          <w:sz w:val="24"/>
          <w:szCs w:val="24"/>
        </w:rPr>
        <w:t>La alegría</w:t>
      </w:r>
      <w:r>
        <w:rPr>
          <w:rFonts w:ascii="Times New Roman" w:hAnsi="Times New Roman"/>
          <w:i/>
          <w:sz w:val="24"/>
          <w:szCs w:val="24"/>
        </w:rPr>
        <w:t xml:space="preserve"> del Evangelio </w:t>
      </w:r>
      <w:r>
        <w:rPr>
          <w:rFonts w:ascii="Times New Roman" w:hAnsi="Times New Roman"/>
          <w:sz w:val="24"/>
          <w:szCs w:val="24"/>
        </w:rPr>
        <w:t xml:space="preserve">se encuentra en plena sintonía con los movimientos populares mundiales, con quienes se ha reunido entre tres ocasiones identificándose con sus reivindicaciones de </w:t>
      </w:r>
      <w:r>
        <w:rPr>
          <w:rFonts w:ascii="Times New Roman" w:hAnsi="Times New Roman"/>
          <w:i/>
          <w:sz w:val="24"/>
          <w:szCs w:val="24"/>
        </w:rPr>
        <w:t>Tierra, Trabajo y Techo</w:t>
      </w:r>
      <w:r>
        <w:rPr>
          <w:rFonts w:ascii="Times New Roman" w:hAnsi="Times New Roman"/>
          <w:sz w:val="24"/>
          <w:szCs w:val="24"/>
        </w:rPr>
        <w:t>. A decir verdad, también Juan Pablo II se mostró muy c</w:t>
      </w:r>
      <w:r>
        <w:rPr>
          <w:rFonts w:ascii="Times New Roman" w:hAnsi="Times New Roman"/>
          <w:sz w:val="24"/>
          <w:szCs w:val="24"/>
        </w:rPr>
        <w:t>rítico con el neoliberalismo en sus encíclicas sociales.</w:t>
      </w:r>
    </w:p>
    <w:p w:rsidR="00F84274" w:rsidRDefault="001A16DE">
      <w:pPr>
        <w:spacing w:line="360" w:lineRule="auto"/>
        <w:ind w:firstLine="708"/>
        <w:jc w:val="both"/>
      </w:pPr>
      <w:r>
        <w:rPr>
          <w:rFonts w:ascii="Times New Roman" w:hAnsi="Times New Roman"/>
          <w:sz w:val="24"/>
          <w:szCs w:val="24"/>
        </w:rPr>
        <w:t>El horizonte ético de Francisco es la opción por los pobres, seña de identidad de la teología de la liberación, la solidaridad, que entiende como decisión de devolver a los pobres lo que se les ha ro</w:t>
      </w:r>
      <w:r>
        <w:rPr>
          <w:rFonts w:ascii="Times New Roman" w:hAnsi="Times New Roman"/>
          <w:sz w:val="24"/>
          <w:szCs w:val="24"/>
        </w:rPr>
        <w:t>bado. La ética lleva a compartir, ya que, según Juan Crisóstomo, “no compartir con los pobres los propios bienes es robarles y quitarles la vida. No son nuestros los bienes que tenemos, sino suyos”. El papa propone como alternativa “una vuelta de la econom</w:t>
      </w:r>
      <w:r>
        <w:rPr>
          <w:rFonts w:ascii="Times New Roman" w:hAnsi="Times New Roman"/>
          <w:sz w:val="24"/>
          <w:szCs w:val="24"/>
        </w:rPr>
        <w:t xml:space="preserve">ía y las finanzas a una </w:t>
      </w:r>
      <w:r>
        <w:rPr>
          <w:rFonts w:ascii="Times New Roman" w:hAnsi="Times New Roman"/>
          <w:i/>
          <w:sz w:val="24"/>
          <w:szCs w:val="24"/>
        </w:rPr>
        <w:t>ética en favor del ser humano</w:t>
      </w:r>
      <w:r>
        <w:rPr>
          <w:rFonts w:ascii="Times New Roman" w:hAnsi="Times New Roman"/>
          <w:sz w:val="24"/>
          <w:szCs w:val="24"/>
        </w:rPr>
        <w:t xml:space="preserve">”.  </w:t>
      </w:r>
    </w:p>
    <w:p w:rsidR="00F84274" w:rsidRDefault="001A16DE">
      <w:pPr>
        <w:spacing w:line="360" w:lineRule="auto"/>
        <w:ind w:firstLine="708"/>
        <w:jc w:val="both"/>
      </w:pPr>
      <w:r>
        <w:rPr>
          <w:rFonts w:ascii="Times New Roman" w:hAnsi="Times New Roman"/>
          <w:sz w:val="24"/>
          <w:szCs w:val="24"/>
        </w:rPr>
        <w:t xml:space="preserve">Francisco es el primer papa que ha dedicado una encíclica a la ecología bajo el título </w:t>
      </w:r>
      <w:r>
        <w:rPr>
          <w:rFonts w:ascii="Times New Roman" w:hAnsi="Times New Roman"/>
          <w:i/>
          <w:sz w:val="24"/>
          <w:szCs w:val="24"/>
        </w:rPr>
        <w:t>Laudato Si. Sobre el cuidado de la casa común</w:t>
      </w:r>
      <w:r>
        <w:rPr>
          <w:rFonts w:ascii="Times New Roman" w:hAnsi="Times New Roman"/>
          <w:sz w:val="24"/>
          <w:szCs w:val="24"/>
        </w:rPr>
        <w:t>, donde critica el “antropocentrismo despótico” y las distintas fo</w:t>
      </w:r>
      <w:r>
        <w:rPr>
          <w:rFonts w:ascii="Times New Roman" w:hAnsi="Times New Roman"/>
          <w:sz w:val="24"/>
          <w:szCs w:val="24"/>
        </w:rPr>
        <w:t>rmas de poder destructivo de la tecnología tanto de la naturaleza como de las relaciones sociales, defiende una visión holística del cosmos del que los seres humanos formamos parte, cree necesario compaginar el cuidado de la tierra y el de los seres humano</w:t>
      </w:r>
      <w:r>
        <w:rPr>
          <w:rFonts w:ascii="Times New Roman" w:hAnsi="Times New Roman"/>
          <w:sz w:val="24"/>
          <w:szCs w:val="24"/>
        </w:rPr>
        <w:t xml:space="preserve">s, sobre todo de los más vulnerables, coloca a la par la justicia económica y la justicia ecológica y declara el derecho de la tierra a ser feliz. </w:t>
      </w:r>
    </w:p>
    <w:p w:rsidR="00F84274" w:rsidRDefault="001A16DE">
      <w:pPr>
        <w:spacing w:line="360" w:lineRule="auto"/>
        <w:ind w:firstLine="708"/>
        <w:jc w:val="both"/>
      </w:pPr>
      <w:r>
        <w:rPr>
          <w:rFonts w:ascii="Times New Roman" w:hAnsi="Times New Roman"/>
          <w:sz w:val="24"/>
          <w:szCs w:val="24"/>
        </w:rPr>
        <w:t xml:space="preserve">La tercera prioridad en la que ha puesto especial empeño Francisco es la </w:t>
      </w:r>
      <w:r>
        <w:rPr>
          <w:rFonts w:ascii="Times New Roman" w:hAnsi="Times New Roman"/>
          <w:i/>
          <w:sz w:val="24"/>
          <w:szCs w:val="24"/>
        </w:rPr>
        <w:t>reforma de la Iglesia</w:t>
      </w:r>
      <w:r>
        <w:rPr>
          <w:rFonts w:ascii="Times New Roman" w:hAnsi="Times New Roman"/>
          <w:sz w:val="24"/>
          <w:szCs w:val="24"/>
        </w:rPr>
        <w:t>. Lo hizo desd</w:t>
      </w:r>
      <w:r>
        <w:rPr>
          <w:rFonts w:ascii="Times New Roman" w:hAnsi="Times New Roman"/>
          <w:sz w:val="24"/>
          <w:szCs w:val="24"/>
        </w:rPr>
        <w:t xml:space="preserve">e el principio con su propuesta de una </w:t>
      </w:r>
      <w:r>
        <w:rPr>
          <w:rFonts w:ascii="Times New Roman" w:hAnsi="Times New Roman"/>
          <w:i/>
          <w:sz w:val="24"/>
          <w:szCs w:val="24"/>
        </w:rPr>
        <w:t>Iglesia pobre y de los pobres</w:t>
      </w:r>
      <w:r>
        <w:rPr>
          <w:rFonts w:ascii="Times New Roman" w:hAnsi="Times New Roman"/>
          <w:sz w:val="24"/>
          <w:szCs w:val="24"/>
        </w:rPr>
        <w:t xml:space="preserve"> y lo viene ejemplificando con su estilo de vida austera y su denuncia de las patologías de la Curia, del cuerpo episcopal y del clero cuando se desvían del testimonio evangélico. La refor</w:t>
      </w:r>
      <w:r>
        <w:rPr>
          <w:rFonts w:ascii="Times New Roman" w:hAnsi="Times New Roman"/>
          <w:sz w:val="24"/>
          <w:szCs w:val="24"/>
        </w:rPr>
        <w:t xml:space="preserve">ma eclesial está en continuidad con el </w:t>
      </w:r>
      <w:r>
        <w:rPr>
          <w:rFonts w:ascii="Times New Roman" w:hAnsi="Times New Roman"/>
          <w:i/>
          <w:sz w:val="24"/>
          <w:szCs w:val="24"/>
        </w:rPr>
        <w:t>aggiornamento</w:t>
      </w:r>
      <w:r>
        <w:rPr>
          <w:rFonts w:ascii="Times New Roman" w:hAnsi="Times New Roman"/>
          <w:sz w:val="24"/>
          <w:szCs w:val="24"/>
        </w:rPr>
        <w:t xml:space="preserve"> de Juan XIII y el Concilio Vaticano II, que contrasta con el modelo contrarreformista y restauracionista de Juan Pablo II y Benedicto XVI.  </w:t>
      </w:r>
    </w:p>
    <w:p w:rsidR="00F84274" w:rsidRDefault="001A16DE">
      <w:pPr>
        <w:spacing w:line="360" w:lineRule="auto"/>
        <w:ind w:firstLine="708"/>
        <w:jc w:val="both"/>
      </w:pPr>
      <w:r>
        <w:rPr>
          <w:rFonts w:ascii="Times New Roman" w:hAnsi="Times New Roman"/>
          <w:sz w:val="24"/>
          <w:szCs w:val="24"/>
        </w:rPr>
        <w:t>Sin embargo, es en lo referente a la reforma interna de la igl</w:t>
      </w:r>
      <w:r>
        <w:rPr>
          <w:rFonts w:ascii="Times New Roman" w:hAnsi="Times New Roman"/>
          <w:sz w:val="24"/>
          <w:szCs w:val="24"/>
        </w:rPr>
        <w:t xml:space="preserve">esia católica donde se están produciendo más resistencias y menos avances. Las resistencias provienen de distintos frentes: de la Curia y, dentro de ella, de la Congregación para la Doctrina de la </w:t>
      </w:r>
      <w:r>
        <w:rPr>
          <w:rFonts w:ascii="Times New Roman" w:hAnsi="Times New Roman"/>
          <w:sz w:val="24"/>
          <w:szCs w:val="24"/>
        </w:rPr>
        <w:lastRenderedPageBreak/>
        <w:t xml:space="preserve">Fe, presidida por el cardenal Gerhard Müller, nombrado por </w:t>
      </w:r>
      <w:r>
        <w:rPr>
          <w:rFonts w:ascii="Times New Roman" w:hAnsi="Times New Roman"/>
          <w:sz w:val="24"/>
          <w:szCs w:val="24"/>
        </w:rPr>
        <w:t>Benedicto XVI poco antes de su dimisión para asegurar que el depósito de la fe permanecería incólume, de un sector importante del episcopado, que se resiste a seguir la senda marcada por Francisco, y de los movimientos cristianos neoconservadores, que sigu</w:t>
      </w:r>
      <w:r>
        <w:rPr>
          <w:rFonts w:ascii="Times New Roman" w:hAnsi="Times New Roman"/>
          <w:sz w:val="24"/>
          <w:szCs w:val="24"/>
        </w:rPr>
        <w:t xml:space="preserve">en anclados en el paradigma eclesial de los papas anteriores. </w:t>
      </w:r>
    </w:p>
    <w:p w:rsidR="00F84274" w:rsidRDefault="001A16DE">
      <w:pPr>
        <w:spacing w:line="360" w:lineRule="auto"/>
        <w:ind w:firstLine="708"/>
        <w:jc w:val="both"/>
        <w:rPr>
          <w:rFonts w:ascii="Times New Roman" w:hAnsi="Times New Roman"/>
          <w:sz w:val="24"/>
          <w:szCs w:val="24"/>
        </w:rPr>
      </w:pPr>
      <w:r>
        <w:rPr>
          <w:rFonts w:ascii="Times New Roman" w:hAnsi="Times New Roman"/>
          <w:sz w:val="24"/>
          <w:szCs w:val="24"/>
        </w:rPr>
        <w:t xml:space="preserve">El propio Francisco creo que no acertó con la creación de una Comisión de cardenales para asesorarle en la reforma eclesial. En ella todos son varones, miembros de la alta clerecía, “príncipes </w:t>
      </w:r>
      <w:r>
        <w:rPr>
          <w:rFonts w:ascii="Times New Roman" w:hAnsi="Times New Roman"/>
          <w:sz w:val="24"/>
          <w:szCs w:val="24"/>
        </w:rPr>
        <w:t>de la Iglesia”. No hay laicos –ni hombres ni mujeres-, ni teólogas ni teólogos, ni representantes de comunidades cristianas de base, ni miembros de congregaciones religiosas. Otro error fue nombrar miembro y coordinador de dicha Comisión al arzobispo de Ho</w:t>
      </w:r>
      <w:r>
        <w:rPr>
          <w:rFonts w:ascii="Times New Roman" w:hAnsi="Times New Roman"/>
          <w:sz w:val="24"/>
          <w:szCs w:val="24"/>
        </w:rPr>
        <w:t xml:space="preserve">nduras, cardenal Oscar Andrés Rodríguez Maradiaga, que apoyó el golpe de Estado del 28 de junio de 2009 contra el presidente Manuel Zelaya y reconoció el gobierno de Roberto Micheletti surgido del golpe. ¿Cómo puede apoyar la democratización de la Iglesia </w:t>
      </w:r>
      <w:r>
        <w:rPr>
          <w:rFonts w:ascii="Times New Roman" w:hAnsi="Times New Roman"/>
          <w:sz w:val="24"/>
          <w:szCs w:val="24"/>
        </w:rPr>
        <w:t xml:space="preserve">universal una persona que ha contribuido al derrocamiento de un presidente elegido democráticamente en su país? </w:t>
      </w:r>
    </w:p>
    <w:p w:rsidR="00F84274" w:rsidRDefault="001A16DE">
      <w:pPr>
        <w:spacing w:line="360" w:lineRule="auto"/>
        <w:ind w:firstLine="708"/>
        <w:jc w:val="both"/>
        <w:rPr>
          <w:rFonts w:ascii="Times New Roman" w:hAnsi="Times New Roman"/>
          <w:sz w:val="24"/>
          <w:szCs w:val="24"/>
        </w:rPr>
      </w:pPr>
      <w:r>
        <w:rPr>
          <w:rFonts w:ascii="Times New Roman" w:hAnsi="Times New Roman"/>
          <w:sz w:val="24"/>
          <w:szCs w:val="24"/>
        </w:rPr>
        <w:t xml:space="preserve">Más allá de algunas declaraciones en favor de la igualdad entre hombres y mujeres y de algunos intentos por incorporar a las mujeres a puestos </w:t>
      </w:r>
      <w:r>
        <w:rPr>
          <w:rFonts w:ascii="Times New Roman" w:hAnsi="Times New Roman"/>
          <w:sz w:val="24"/>
          <w:szCs w:val="24"/>
        </w:rPr>
        <w:t>subalternos, creo que en la Iglesia católica sigue manteniéndose el patriarcado en estado puro, es decir, como sistema de dominación sobre las mujeres, basado en la masculinidad sagrada (“Si Dios es varón, entonces el varón es Dios”, decía Mary Daly). Un p</w:t>
      </w:r>
      <w:r>
        <w:rPr>
          <w:rFonts w:ascii="Times New Roman" w:hAnsi="Times New Roman"/>
          <w:sz w:val="24"/>
          <w:szCs w:val="24"/>
        </w:rPr>
        <w:t>atriarcado que se traduce en la exclusión de las mujeres del ministerio eclesial, del acceso directo a lo sagrado, de las funciones directivas, de la elaboración de la doctrina teológica y moral, y en la negación de los derechos sexuales y reproductivos de</w:t>
      </w:r>
      <w:r>
        <w:rPr>
          <w:rFonts w:ascii="Times New Roman" w:hAnsi="Times New Roman"/>
          <w:sz w:val="24"/>
          <w:szCs w:val="24"/>
        </w:rPr>
        <w:t xml:space="preserve"> las mujeres. </w:t>
      </w:r>
    </w:p>
    <w:p w:rsidR="00F84274" w:rsidRDefault="001A16DE">
      <w:pPr>
        <w:spacing w:line="360" w:lineRule="auto"/>
        <w:ind w:firstLine="708"/>
        <w:jc w:val="both"/>
      </w:pPr>
      <w:r>
        <w:rPr>
          <w:rFonts w:ascii="Times New Roman" w:hAnsi="Times New Roman"/>
          <w:sz w:val="24"/>
          <w:szCs w:val="24"/>
        </w:rPr>
        <w:t xml:space="preserve">La Iglesia católica sigue configurada hoy como una </w:t>
      </w:r>
      <w:r>
        <w:rPr>
          <w:rFonts w:ascii="Times New Roman" w:hAnsi="Times New Roman"/>
          <w:i/>
          <w:sz w:val="24"/>
          <w:szCs w:val="24"/>
        </w:rPr>
        <w:t>patriarquía</w:t>
      </w:r>
      <w:r>
        <w:rPr>
          <w:rFonts w:ascii="Times New Roman" w:hAnsi="Times New Roman"/>
          <w:sz w:val="24"/>
          <w:szCs w:val="24"/>
        </w:rPr>
        <w:t xml:space="preserve">. Mientras no se conforme y funcione como una comunidad igualitaria –no clónica- de hombres y mujeres, todo intento de reforma terminará en un rotundo fracaso. </w:t>
      </w:r>
    </w:p>
    <w:sectPr w:rsidR="00F84274">
      <w:head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DE" w:rsidRDefault="001A16DE">
      <w:pPr>
        <w:spacing w:after="0" w:line="240" w:lineRule="auto"/>
      </w:pPr>
      <w:r>
        <w:separator/>
      </w:r>
    </w:p>
  </w:endnote>
  <w:endnote w:type="continuationSeparator" w:id="0">
    <w:p w:rsidR="001A16DE" w:rsidRDefault="001A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DE" w:rsidRDefault="001A16DE">
      <w:pPr>
        <w:spacing w:after="0" w:line="240" w:lineRule="auto"/>
      </w:pPr>
      <w:r>
        <w:rPr>
          <w:color w:val="000000"/>
        </w:rPr>
        <w:separator/>
      </w:r>
    </w:p>
  </w:footnote>
  <w:footnote w:type="continuationSeparator" w:id="0">
    <w:p w:rsidR="001A16DE" w:rsidRDefault="001A1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5" w:rsidRDefault="001A16DE">
    <w:pPr>
      <w:pStyle w:val="Encabezado"/>
      <w:jc w:val="right"/>
    </w:pPr>
    <w:r>
      <w:fldChar w:fldCharType="begin"/>
    </w:r>
    <w:r>
      <w:instrText xml:space="preserve"> PAGE </w:instrText>
    </w:r>
    <w:r>
      <w:fldChar w:fldCharType="separate"/>
    </w:r>
    <w:r w:rsidR="0074049F">
      <w:rPr>
        <w:noProof/>
      </w:rPr>
      <w:t>2</w:t>
    </w:r>
    <w:r>
      <w:fldChar w:fldCharType="end"/>
    </w:r>
  </w:p>
  <w:p w:rsidR="00E22415" w:rsidRDefault="001A16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F84274"/>
    <w:rsid w:val="001A16DE"/>
    <w:rsid w:val="0074049F"/>
    <w:rsid w:val="00F842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3CE42-1E45-4D22-88F0-2F4AF0A9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Rosario Hermano</cp:lastModifiedBy>
  <cp:revision>2</cp:revision>
  <dcterms:created xsi:type="dcterms:W3CDTF">2017-03-14T11:24:00Z</dcterms:created>
  <dcterms:modified xsi:type="dcterms:W3CDTF">2017-03-14T11:24:00Z</dcterms:modified>
</cp:coreProperties>
</file>