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E5" w:rsidRPr="00A55DE5" w:rsidRDefault="00A55DE5" w:rsidP="00A55DE5">
      <w:pPr>
        <w:shd w:val="clear" w:color="auto" w:fill="FFFFFF"/>
        <w:jc w:val="center"/>
        <w:rPr>
          <w:rFonts w:ascii="Arial" w:eastAsia="Times New Roman" w:hAnsi="Arial" w:cs="Arial"/>
          <w:color w:val="222222"/>
          <w:sz w:val="24"/>
          <w:szCs w:val="24"/>
          <w:lang w:eastAsia="es-UY"/>
        </w:rPr>
      </w:pPr>
      <w:r w:rsidRPr="00A55DE5">
        <w:rPr>
          <w:rFonts w:ascii="Arial" w:eastAsia="Times New Roman" w:hAnsi="Arial" w:cs="Arial"/>
          <w:b/>
          <w:bCs/>
          <w:color w:val="222222"/>
          <w:sz w:val="24"/>
          <w:szCs w:val="24"/>
          <w:lang w:eastAsia="es-UY"/>
        </w:rPr>
        <w:t>Acceder a Jesús, el encuentro con él, da luz a nuestra vida</w:t>
      </w:r>
    </w:p>
    <w:p w:rsidR="00A55DE5" w:rsidRPr="00A55DE5" w:rsidRDefault="00A55DE5" w:rsidP="00A55DE5">
      <w:pPr>
        <w:shd w:val="clear" w:color="auto" w:fill="FFFFFF"/>
        <w:jc w:val="center"/>
        <w:rPr>
          <w:rFonts w:ascii="Arial" w:eastAsia="Times New Roman" w:hAnsi="Arial" w:cs="Arial"/>
          <w:color w:val="222222"/>
          <w:sz w:val="24"/>
          <w:szCs w:val="24"/>
          <w:lang w:eastAsia="es-UY"/>
        </w:rPr>
      </w:pPr>
      <w:r w:rsidRPr="00A55DE5">
        <w:rPr>
          <w:rFonts w:ascii="Arial" w:eastAsia="Times New Roman" w:hAnsi="Arial" w:cs="Arial"/>
          <w:color w:val="222222"/>
          <w:sz w:val="24"/>
          <w:szCs w:val="24"/>
          <w:lang w:eastAsia="es-UY"/>
        </w:rPr>
        <w:t>DOMINGO CUARTO DE CUARESMA - "A"</w:t>
      </w:r>
    </w:p>
    <w:p w:rsidR="00A55DE5" w:rsidRPr="00A55DE5" w:rsidRDefault="00A55DE5" w:rsidP="00A55DE5">
      <w:pPr>
        <w:shd w:val="clear" w:color="auto" w:fill="FFFFFF"/>
        <w:jc w:val="center"/>
        <w:rPr>
          <w:rFonts w:ascii="Arial" w:eastAsia="Times New Roman" w:hAnsi="Arial" w:cs="Arial"/>
          <w:color w:val="222222"/>
          <w:sz w:val="24"/>
          <w:szCs w:val="24"/>
          <w:lang w:eastAsia="es-UY"/>
        </w:rPr>
      </w:pPr>
    </w:p>
    <w:p w:rsidR="00A55DE5" w:rsidRPr="00A55DE5" w:rsidRDefault="00A55DE5" w:rsidP="00A55DE5">
      <w:pPr>
        <w:shd w:val="clear" w:color="auto" w:fill="FFFFFF"/>
        <w:jc w:val="right"/>
        <w:rPr>
          <w:rFonts w:ascii="Arial" w:eastAsia="Times New Roman" w:hAnsi="Arial" w:cs="Arial"/>
          <w:color w:val="222222"/>
          <w:sz w:val="24"/>
          <w:szCs w:val="24"/>
          <w:lang w:eastAsia="es-UY"/>
        </w:rPr>
      </w:pPr>
      <w:r w:rsidRPr="00A55DE5">
        <w:rPr>
          <w:rFonts w:ascii="Arial" w:eastAsia="Times New Roman" w:hAnsi="Arial" w:cs="Arial"/>
          <w:i/>
          <w:iCs/>
          <w:color w:val="222222"/>
          <w:sz w:val="24"/>
          <w:szCs w:val="24"/>
          <w:lang w:eastAsia="es-UY"/>
        </w:rPr>
        <w:t>Eduardo de la Serna</w:t>
      </w:r>
    </w:p>
    <w:p w:rsidR="00A55DE5" w:rsidRPr="00A55DE5" w:rsidRDefault="00A55DE5" w:rsidP="00A55DE5">
      <w:pPr>
        <w:shd w:val="clear" w:color="auto" w:fill="FFFFFF"/>
        <w:jc w:val="right"/>
        <w:rPr>
          <w:rFonts w:ascii="Arial" w:eastAsia="Times New Roman" w:hAnsi="Arial" w:cs="Arial"/>
          <w:color w:val="222222"/>
          <w:sz w:val="24"/>
          <w:szCs w:val="24"/>
          <w:lang w:eastAsia="es-UY"/>
        </w:rPr>
      </w:pPr>
    </w:p>
    <w:p w:rsidR="00A55DE5" w:rsidRPr="00A55DE5" w:rsidRDefault="00A55DE5" w:rsidP="00A55DE5">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2617470" cy="1741170"/>
            <wp:effectExtent l="19050" t="0" r="0" b="0"/>
            <wp:docPr id="1" name="Imagen 1" descr="https://2.bp.blogspot.com/-yt3NMz4xcoI/UzFqtR8i-II/AAAAAAAADSY/-PjmlJJMUKk/s1600/Cuaresma+4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yt3NMz4xcoI/UzFqtR8i-II/AAAAAAAADSY/-PjmlJJMUKk/s1600/Cuaresma+4A.jpg">
                      <a:hlinkClick r:id="rId5" tgtFrame="&quot;_blank&quot;"/>
                    </pic:cNvPr>
                    <pic:cNvPicPr>
                      <a:picLocks noChangeAspect="1" noChangeArrowheads="1"/>
                    </pic:cNvPicPr>
                  </pic:nvPicPr>
                  <pic:blipFill>
                    <a:blip r:embed="rId6"/>
                    <a:srcRect/>
                    <a:stretch>
                      <a:fillRect/>
                    </a:stretch>
                  </pic:blipFill>
                  <pic:spPr bwMode="auto">
                    <a:xfrm>
                      <a:off x="0" y="0"/>
                      <a:ext cx="2617470" cy="1741170"/>
                    </a:xfrm>
                    <a:prstGeom prst="rect">
                      <a:avLst/>
                    </a:prstGeom>
                    <a:noFill/>
                    <a:ln w="9525">
                      <a:noFill/>
                      <a:miter lim="800000"/>
                      <a:headEnd/>
                      <a:tailEnd/>
                    </a:ln>
                  </pic:spPr>
                </pic:pic>
              </a:graphicData>
            </a:graphic>
          </wp:inline>
        </w:drawing>
      </w:r>
    </w:p>
    <w:p w:rsidR="00A55DE5" w:rsidRPr="00A55DE5" w:rsidRDefault="00A55DE5" w:rsidP="00A55DE5">
      <w:pPr>
        <w:shd w:val="clear" w:color="auto" w:fill="FFFFFF"/>
        <w:jc w:val="right"/>
        <w:rPr>
          <w:rFonts w:ascii="Arial" w:eastAsia="Times New Roman" w:hAnsi="Arial" w:cs="Arial"/>
          <w:color w:val="222222"/>
          <w:sz w:val="11"/>
          <w:szCs w:val="11"/>
          <w:lang w:eastAsia="es-UY"/>
        </w:rPr>
      </w:pPr>
    </w:p>
    <w:p w:rsidR="00A55DE5" w:rsidRPr="00A55DE5" w:rsidRDefault="00A55DE5" w:rsidP="00A55DE5">
      <w:pPr>
        <w:shd w:val="clear" w:color="auto" w:fill="FFFFFF"/>
        <w:jc w:val="right"/>
        <w:rPr>
          <w:rFonts w:ascii="Arial" w:eastAsia="Times New Roman" w:hAnsi="Arial" w:cs="Arial"/>
          <w:color w:val="222222"/>
          <w:sz w:val="11"/>
          <w:szCs w:val="11"/>
          <w:lang w:eastAsia="es-UY"/>
        </w:rPr>
      </w:pPr>
    </w:p>
    <w:p w:rsidR="00A55DE5" w:rsidRPr="00A55DE5" w:rsidRDefault="00A55DE5" w:rsidP="00A55DE5">
      <w:pPr>
        <w:shd w:val="clear" w:color="auto" w:fill="FFFFFF"/>
        <w:spacing w:after="240"/>
        <w:jc w:val="left"/>
        <w:rPr>
          <w:rFonts w:ascii="Arial" w:eastAsia="Times New Roman" w:hAnsi="Arial" w:cs="Arial"/>
          <w:color w:val="222222"/>
          <w:sz w:val="11"/>
          <w:szCs w:val="11"/>
          <w:lang w:eastAsia="es-UY"/>
        </w:rPr>
      </w:pPr>
      <w:r w:rsidRPr="00A55DE5">
        <w:rPr>
          <w:rFonts w:ascii="Arial" w:eastAsia="Times New Roman" w:hAnsi="Arial" w:cs="Arial"/>
          <w:b/>
          <w:bCs/>
          <w:color w:val="222222"/>
          <w:sz w:val="24"/>
          <w:szCs w:val="24"/>
          <w:lang w:eastAsia="es-UY"/>
        </w:rPr>
        <w:t>Lectura del primer libro de Samuel</w:t>
      </w:r>
      <w:r w:rsidRPr="00A55DE5">
        <w:rPr>
          <w:rFonts w:ascii="Arial" w:eastAsia="Times New Roman" w:hAnsi="Arial" w:cs="Arial"/>
          <w:color w:val="222222"/>
          <w:sz w:val="24"/>
          <w:szCs w:val="24"/>
          <w:lang w:eastAsia="es-UY"/>
        </w:rPr>
        <w:t>     16, 1b. 5b-7. 10-13a</w:t>
      </w:r>
      <w:r w:rsidRPr="00A55DE5">
        <w:rPr>
          <w:rFonts w:ascii="Arial" w:eastAsia="Times New Roman" w:hAnsi="Arial" w:cs="Arial"/>
          <w:color w:val="222222"/>
          <w:sz w:val="24"/>
          <w:szCs w:val="24"/>
          <w:lang w:eastAsia="es-UY"/>
        </w:rPr>
        <w:br/>
      </w:r>
      <w:r w:rsidRPr="00A55DE5">
        <w:rPr>
          <w:rFonts w:ascii="Arial" w:eastAsia="Times New Roman" w:hAnsi="Arial" w:cs="Arial"/>
          <w:color w:val="222222"/>
          <w:sz w:val="24"/>
          <w:szCs w:val="24"/>
          <w:lang w:eastAsia="es-UY"/>
        </w:rPr>
        <w:br/>
      </w:r>
      <w:r w:rsidRPr="00A55DE5">
        <w:rPr>
          <w:rFonts w:ascii="Arial" w:eastAsia="Times New Roman" w:hAnsi="Arial" w:cs="Arial"/>
          <w:i/>
          <w:iCs/>
          <w:color w:val="222222"/>
          <w:sz w:val="24"/>
          <w:szCs w:val="24"/>
          <w:lang w:eastAsia="es-UY"/>
        </w:rPr>
        <w:t>Resumen: La misión de Samuel está llegando a su fin por lo que el texto prepara la aparición de David. Él es ungido por aquel, aunque llegará al gobierno un buen tiempo después. Para eso Dios derrama sobre su elegido su espíritu a fin de que pueda cumplir aquella misión que se le ha encargado.</w:t>
      </w:r>
      <w:r w:rsidRPr="00A55DE5">
        <w:rPr>
          <w:rFonts w:ascii="Arial" w:eastAsia="Times New Roman" w:hAnsi="Arial" w:cs="Arial"/>
          <w:color w:val="222222"/>
          <w:sz w:val="11"/>
          <w:szCs w:val="11"/>
          <w:lang w:eastAsia="es-UY"/>
        </w:rPr>
        <w:br/>
      </w: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 xml:space="preserve">La historia deuteronomista va presentando una serie de personajes. Está culminando la “etapa” de Samuel y nos preparamos para David. Ya sabíamos (13,14; 15,28) que Saúl fue rechazado por Dios, por lo que otro personaje debe </w:t>
      </w:r>
      <w:proofErr w:type="gramStart"/>
      <w:r w:rsidRPr="00A55DE5">
        <w:rPr>
          <w:rFonts w:ascii="Arial" w:eastAsia="Times New Roman" w:hAnsi="Arial" w:cs="Arial"/>
          <w:color w:val="222222"/>
          <w:sz w:val="24"/>
          <w:szCs w:val="24"/>
          <w:lang w:eastAsia="es-UY"/>
        </w:rPr>
        <w:t>entrar</w:t>
      </w:r>
      <w:proofErr w:type="gramEnd"/>
      <w:r w:rsidRPr="00A55DE5">
        <w:rPr>
          <w:rFonts w:ascii="Arial" w:eastAsia="Times New Roman" w:hAnsi="Arial" w:cs="Arial"/>
          <w:color w:val="222222"/>
          <w:sz w:val="24"/>
          <w:szCs w:val="24"/>
          <w:lang w:eastAsia="es-UY"/>
        </w:rPr>
        <w:t xml:space="preserve"> en escena. Luego de esto, Samuel desaparecerá de la vida pública. Sólo se lo menciona en adelante como una suerte de ermitaño en Ramá, en celdas (donde va David, perseguido por Saúl, 19,18-24) y el siguiente pasaje informa de su muerte (25,1).</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El fracaso de Saúl tiene a Samuel acongojado y Dios mismo le dice que “yo mismo lo he rechazado para que no reine”. Dios le encarga preparar lo necesario para dirigirse a Belén donde encontrará al elegido, en la casa de Jesé. El contexto es litúrgico (sacrificio, purificación) lo que da a Samuel excusa para el viaje a los ojos del airado Saúl (“si se entera me matará”, dijo Samuel, v.2). Sabemos que los ancianos de la ciudad serán testigos aunque sólo se los mencione al comienzo (vv.4-5), e invita a Jesé y su familia a participar del sacrificio y la posterior comida. Los hijos van pasando por edades (se menciona a los tres mayores, cf. 17,13) sin aludir a los restantes cuatro. Sólo queda el octavo, David, que no se encuentra en el lugar. Coherente con su tiempo, Samuel imagina que el elegido por Dios será el primero, luego el segundo… pero –como tantas veces se insiste en la Biblia- Dios mira con otros ojos (v.7). El pequeño está con el rebaño y Samuel lo manda llamar porque no participarán de la comida sacrificial hasta que no estén todos. Es interesante que mientras para 1 Samuel, Jesé tiene 8 hijos (cf. 17,12) para el libro de las Crónicas estos son siete (1 Cr 2,13-15, aunque el tercer hijo tiene diferente nombre y aquí se llama </w:t>
      </w:r>
      <w:r w:rsidRPr="00A55DE5">
        <w:rPr>
          <w:rFonts w:ascii="Arial" w:eastAsia="Times New Roman" w:hAnsi="Arial" w:cs="Arial"/>
          <w:i/>
          <w:iCs/>
          <w:color w:val="222222"/>
          <w:sz w:val="24"/>
          <w:szCs w:val="24"/>
          <w:lang w:eastAsia="es-UY"/>
        </w:rPr>
        <w:t>Simeá</w:t>
      </w:r>
      <w:r w:rsidRPr="00A55DE5">
        <w:rPr>
          <w:rFonts w:ascii="Arial" w:eastAsia="Times New Roman" w:hAnsi="Arial" w:cs="Arial"/>
          <w:color w:val="222222"/>
          <w:sz w:val="24"/>
          <w:szCs w:val="24"/>
          <w:lang w:eastAsia="es-UY"/>
        </w:rPr>
        <w:t> cuando en 1 Samuel es </w:t>
      </w:r>
      <w:r w:rsidRPr="00A55DE5">
        <w:rPr>
          <w:rFonts w:ascii="Arial" w:eastAsia="Times New Roman" w:hAnsi="Arial" w:cs="Arial"/>
          <w:i/>
          <w:iCs/>
          <w:color w:val="222222"/>
          <w:sz w:val="24"/>
          <w:szCs w:val="24"/>
          <w:lang w:eastAsia="es-UY"/>
        </w:rPr>
        <w:t>Sama’</w:t>
      </w:r>
      <w:r w:rsidRPr="00A55DE5">
        <w:rPr>
          <w:rFonts w:ascii="Arial" w:eastAsia="Times New Roman" w:hAnsi="Arial" w:cs="Arial"/>
          <w:color w:val="222222"/>
          <w:sz w:val="24"/>
          <w:szCs w:val="24"/>
          <w:lang w:eastAsia="es-UY"/>
        </w:rPr>
        <w:t>; probablemente se trate de diferentes tradiciones). </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lastRenderedPageBreak/>
        <w:t>Es interesante que la unción de Samuel a David ocurre en secreto. De hecho, David no será “nombrado” rey por un buen tiempo más, del sur en 2 Sam 2,4 y del norte en 2 Sam 5,3 una vez ocurrida la muerte de Saúl. Por otra parte, un elemento teológico importante está señalado al afirmar que a partir de la unción vino sobre David “el espíritu” (la </w:t>
      </w:r>
      <w:r w:rsidRPr="00A55DE5">
        <w:rPr>
          <w:rFonts w:ascii="Arial" w:eastAsia="Times New Roman" w:hAnsi="Arial" w:cs="Arial"/>
          <w:i/>
          <w:iCs/>
          <w:color w:val="222222"/>
          <w:sz w:val="24"/>
          <w:szCs w:val="24"/>
          <w:lang w:eastAsia="es-UY"/>
        </w:rPr>
        <w:t>rûah</w:t>
      </w:r>
      <w:r w:rsidRPr="00A55DE5">
        <w:rPr>
          <w:rFonts w:ascii="Arial" w:eastAsia="Times New Roman" w:hAnsi="Arial" w:cs="Arial"/>
          <w:color w:val="222222"/>
          <w:sz w:val="24"/>
          <w:szCs w:val="24"/>
          <w:lang w:eastAsia="es-UY"/>
        </w:rPr>
        <w:t>) de Yahvé. Hay, por un lado una estrecha relación entre la unción y la donación del espíritu. El profeta exclama que “el espíritu del Señor Yahvé está sobre mí por cuanto me ha ungido” (Is 61,1). </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Los encargos divinos, con frecuencia comportan una dificultad frente a determinadas circunstancias: los ejércitos extranjeros, los poderes internos de la comunidad, un profeta que debe enfrentar críticamente a su rey arriesga literalmente la vida... Es para eso que con frecuencia la Biblia insiste que Dios da, a aquellos/as que ha enviado, su “espíritu”, esto es la capacidad, la fuerza para desarrollar la tarea encomendada y enfrentar las dificultades. El espíritu que Yahvé da a David lo preparará y acompañará para cuando sea el momento en que ejerza la realeza. Precisamente porque Dios mira con otros ojos a como miran las personas, David –el pequeño- debe tener de parte de Dios la capacidad de confrontar con el ambiente que dice que el menor debe ocuparse del rebaño, mientras los mayores van a la guerra, y que estos son más importantes que aquel; y –cuando finalmente también David participe de la lucha con los filisteos- Dios lo acompañará ante las insidias de Saúl hasta que llegue el tiempo de la coronación.</w:t>
      </w:r>
    </w:p>
    <w:p w:rsidR="00A55DE5" w:rsidRPr="00A55DE5" w:rsidRDefault="00A55DE5" w:rsidP="00A55DE5">
      <w:pPr>
        <w:shd w:val="clear" w:color="auto" w:fill="FFFFFF"/>
        <w:spacing w:after="240"/>
        <w:rPr>
          <w:rFonts w:ascii="Arial" w:eastAsia="Times New Roman" w:hAnsi="Arial" w:cs="Arial"/>
          <w:color w:val="222222"/>
          <w:sz w:val="11"/>
          <w:szCs w:val="11"/>
          <w:lang w:eastAsia="es-UY"/>
        </w:rPr>
      </w:pPr>
    </w:p>
    <w:p w:rsidR="00A55DE5" w:rsidRPr="00A55DE5" w:rsidRDefault="00A55DE5" w:rsidP="00A55DE5">
      <w:pPr>
        <w:shd w:val="clear" w:color="auto" w:fill="FFFFFF"/>
        <w:spacing w:after="240"/>
        <w:jc w:val="left"/>
        <w:rPr>
          <w:rFonts w:ascii="Arial" w:eastAsia="Times New Roman" w:hAnsi="Arial" w:cs="Arial"/>
          <w:color w:val="222222"/>
          <w:sz w:val="11"/>
          <w:szCs w:val="11"/>
          <w:lang w:eastAsia="es-UY"/>
        </w:rPr>
      </w:pPr>
      <w:r w:rsidRPr="00A55DE5">
        <w:rPr>
          <w:rFonts w:ascii="Arial" w:eastAsia="Times New Roman" w:hAnsi="Arial" w:cs="Arial"/>
          <w:color w:val="222222"/>
          <w:sz w:val="11"/>
          <w:szCs w:val="11"/>
          <w:lang w:eastAsia="es-UY"/>
        </w:rPr>
        <w:br/>
      </w:r>
      <w:r w:rsidRPr="00A55DE5">
        <w:rPr>
          <w:rFonts w:ascii="Arial" w:eastAsia="Times New Roman" w:hAnsi="Arial" w:cs="Arial"/>
          <w:b/>
          <w:bCs/>
          <w:color w:val="222222"/>
          <w:sz w:val="24"/>
          <w:szCs w:val="24"/>
          <w:lang w:eastAsia="es-UY"/>
        </w:rPr>
        <w:t>Lectura de la carta de san Pablo a los cristianos de Éfeso</w:t>
      </w:r>
      <w:r w:rsidRPr="00A55DE5">
        <w:rPr>
          <w:rFonts w:ascii="Arial" w:eastAsia="Times New Roman" w:hAnsi="Arial" w:cs="Arial"/>
          <w:color w:val="222222"/>
          <w:sz w:val="24"/>
          <w:szCs w:val="24"/>
          <w:lang w:eastAsia="es-UY"/>
        </w:rPr>
        <w:t>     5, 8-14</w:t>
      </w:r>
      <w:r w:rsidRPr="00A55DE5">
        <w:rPr>
          <w:rFonts w:ascii="Arial" w:eastAsia="Times New Roman" w:hAnsi="Arial" w:cs="Arial"/>
          <w:color w:val="222222"/>
          <w:sz w:val="24"/>
          <w:szCs w:val="24"/>
          <w:lang w:eastAsia="es-UY"/>
        </w:rPr>
        <w:br/>
      </w:r>
      <w:r w:rsidRPr="00A55DE5">
        <w:rPr>
          <w:rFonts w:ascii="Arial" w:eastAsia="Times New Roman" w:hAnsi="Arial" w:cs="Arial"/>
          <w:color w:val="222222"/>
          <w:sz w:val="24"/>
          <w:szCs w:val="24"/>
          <w:lang w:eastAsia="es-UY"/>
        </w:rPr>
        <w:br/>
      </w:r>
      <w:r w:rsidRPr="00A55DE5">
        <w:rPr>
          <w:rFonts w:ascii="Arial" w:eastAsia="Times New Roman" w:hAnsi="Arial" w:cs="Arial"/>
          <w:i/>
          <w:iCs/>
          <w:color w:val="222222"/>
          <w:sz w:val="24"/>
          <w:szCs w:val="24"/>
          <w:lang w:eastAsia="es-UY"/>
        </w:rPr>
        <w:t>Resumen: recurriendo al esquema característico del dualismo, el autor recurre a la imagen de la luz y las tinieblas planteadas como modo de vida alentando a vivir coherentemente con la luz que los ha iluminado en el bautismo.</w:t>
      </w:r>
      <w:r w:rsidRPr="00A55DE5">
        <w:rPr>
          <w:rFonts w:ascii="Arial" w:eastAsia="Times New Roman" w:hAnsi="Arial" w:cs="Arial"/>
          <w:color w:val="222222"/>
          <w:sz w:val="11"/>
          <w:szCs w:val="11"/>
          <w:lang w:eastAsia="es-UY"/>
        </w:rPr>
        <w:br/>
      </w: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La llamada “carta a los Efesios” es un texto sobre la “unidad eclesial”. Finalizada la sección doctrinal (caps. 1-3) en el capítulo 4 comienza la sección exhortativa. La importancia de la unidad y la diversidad marca la primera parte de esta sección (4,1-16), para luego destacar las exigencias cotidianas de la vida cristiana. Esto se caracteriza como un paso del hombre viejo al hombre nuevo (4,17-5,2), un paso de las tinieblas a la luz (5,3-20) para pasar a un código doméstico (5,21-6,9), y la referencia a las armas del cristiano (6,10-20). Como se ve, el texto litúrgico está conformado por un fragmento de la unidad sobre las tinieblas y la luz.</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La luz, sus frutos, obras e hijos y las tinieblas tienen –especialmente desde la literatura apocalíptica, un profundo contenido simbólico y ético. El lenguaje plástico de la Biblia, habituado –por otra parte- a moverse entre dos puntas, encuentra en la referencia a la luz y las tinieblas un apropiado terreno para aludir a lo moral. Veamos algunos textos que ilustran esto:</w:t>
      </w:r>
    </w:p>
    <w:p w:rsidR="00A55DE5" w:rsidRPr="00A55DE5" w:rsidRDefault="00A55DE5" w:rsidP="00A55DE5">
      <w:pPr>
        <w:numPr>
          <w:ilvl w:val="0"/>
          <w:numId w:val="1"/>
        </w:numPr>
        <w:shd w:val="clear" w:color="auto" w:fill="FFFFFF"/>
        <w:spacing w:before="100" w:beforeAutospacing="1" w:after="100" w:afterAutospacing="1"/>
        <w:ind w:left="1228"/>
        <w:jc w:val="left"/>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Revela la profundidad de las tinieblas, y saca a la luz la sombra. (Job 12:22) </w:t>
      </w:r>
    </w:p>
    <w:p w:rsidR="00A55DE5" w:rsidRPr="00A55DE5" w:rsidRDefault="00A55DE5" w:rsidP="00A55DE5">
      <w:pPr>
        <w:numPr>
          <w:ilvl w:val="0"/>
          <w:numId w:val="1"/>
        </w:numPr>
        <w:shd w:val="clear" w:color="auto" w:fill="FFFFFF"/>
        <w:spacing w:before="100" w:beforeAutospacing="1" w:after="100" w:afterAutospacing="1"/>
        <w:ind w:left="1228"/>
        <w:jc w:val="left"/>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andan a tientas en tinieblas, sin luz, se tambalean como un ebrio. (Job 12:25)</w:t>
      </w:r>
      <w:r w:rsidRPr="00A55DE5">
        <w:rPr>
          <w:rFonts w:ascii="Times New Roman" w:eastAsia="Times New Roman" w:hAnsi="Times New Roman" w:cs="Times New Roman"/>
          <w:color w:val="222222"/>
          <w:sz w:val="24"/>
          <w:szCs w:val="24"/>
          <w:lang w:eastAsia="es-UY"/>
        </w:rPr>
        <w:t>  </w:t>
      </w:r>
    </w:p>
    <w:p w:rsidR="00A55DE5" w:rsidRPr="00A55DE5" w:rsidRDefault="00A55DE5" w:rsidP="00A55DE5">
      <w:pPr>
        <w:numPr>
          <w:ilvl w:val="0"/>
          <w:numId w:val="1"/>
        </w:numPr>
        <w:shd w:val="clear" w:color="auto" w:fill="FFFFFF"/>
        <w:spacing w:before="100" w:beforeAutospacing="1" w:after="100" w:afterAutospacing="1"/>
        <w:ind w:left="1228"/>
        <w:jc w:val="left"/>
        <w:rPr>
          <w:rFonts w:ascii="Arial" w:eastAsia="Times New Roman" w:hAnsi="Arial" w:cs="Arial"/>
          <w:color w:val="222222"/>
          <w:sz w:val="11"/>
          <w:szCs w:val="11"/>
          <w:lang w:eastAsia="es-UY"/>
        </w:rPr>
      </w:pPr>
      <w:r w:rsidRPr="00A55DE5">
        <w:rPr>
          <w:rFonts w:ascii="Times New Roman" w:eastAsia="Times New Roman" w:hAnsi="Times New Roman" w:cs="Times New Roman"/>
          <w:color w:val="222222"/>
          <w:sz w:val="24"/>
          <w:szCs w:val="24"/>
          <w:lang w:eastAsia="es-UY"/>
        </w:rPr>
        <w:lastRenderedPageBreak/>
        <w:t> </w:t>
      </w:r>
      <w:r w:rsidRPr="00A55DE5">
        <w:rPr>
          <w:rFonts w:ascii="Arial" w:eastAsia="Times New Roman" w:hAnsi="Arial" w:cs="Arial"/>
          <w:color w:val="222222"/>
          <w:sz w:val="24"/>
          <w:szCs w:val="24"/>
          <w:lang w:eastAsia="es-UY"/>
        </w:rPr>
        <w:t>Algunos hacen de la noche día: se acercaría la luz que ahuyenta las tinieblas. (Job 17:12)</w:t>
      </w:r>
    </w:p>
    <w:p w:rsidR="00A55DE5" w:rsidRPr="00A55DE5" w:rsidRDefault="00A55DE5" w:rsidP="00A55DE5">
      <w:pPr>
        <w:numPr>
          <w:ilvl w:val="0"/>
          <w:numId w:val="1"/>
        </w:numPr>
        <w:shd w:val="clear" w:color="auto" w:fill="FFFFFF"/>
        <w:spacing w:before="100" w:beforeAutospacing="1" w:after="100" w:afterAutospacing="1"/>
        <w:ind w:left="1228"/>
        <w:jc w:val="left"/>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En las tinieblas brilla, como luz de los rectos (Sal 112:4)</w:t>
      </w:r>
      <w:r w:rsidRPr="00A55DE5">
        <w:rPr>
          <w:rFonts w:ascii="Times New Roman" w:eastAsia="Times New Roman" w:hAnsi="Times New Roman" w:cs="Times New Roman"/>
          <w:color w:val="222222"/>
          <w:sz w:val="24"/>
          <w:szCs w:val="24"/>
          <w:lang w:eastAsia="es-UY"/>
        </w:rPr>
        <w:t> </w:t>
      </w:r>
    </w:p>
    <w:p w:rsidR="00A55DE5" w:rsidRPr="00A55DE5" w:rsidRDefault="00A55DE5" w:rsidP="00A55DE5">
      <w:pPr>
        <w:numPr>
          <w:ilvl w:val="0"/>
          <w:numId w:val="1"/>
        </w:numPr>
        <w:shd w:val="clear" w:color="auto" w:fill="FFFFFF"/>
        <w:spacing w:before="100" w:beforeAutospacing="1" w:after="100" w:afterAutospacing="1"/>
        <w:ind w:left="1228"/>
        <w:jc w:val="left"/>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Yo vi que la sabiduría aventaja a la necedad, como la luz a las tinieblas. </w:t>
      </w:r>
      <w:r w:rsidRPr="00A55DE5">
        <w:rPr>
          <w:rFonts w:ascii="Arial" w:eastAsia="Times New Roman" w:hAnsi="Arial" w:cs="Arial"/>
          <w:color w:val="222222"/>
          <w:sz w:val="24"/>
          <w:szCs w:val="24"/>
          <w:lang w:val="en-US" w:eastAsia="es-UY"/>
        </w:rPr>
        <w:t>(Qoh 2:13)</w:t>
      </w:r>
      <w:r w:rsidRPr="00A55DE5">
        <w:rPr>
          <w:rFonts w:ascii="Times New Roman" w:eastAsia="Times New Roman" w:hAnsi="Times New Roman" w:cs="Times New Roman"/>
          <w:color w:val="222222"/>
          <w:sz w:val="24"/>
          <w:szCs w:val="24"/>
          <w:lang w:val="en-US" w:eastAsia="es-UY"/>
        </w:rPr>
        <w:t>  </w:t>
      </w:r>
      <w:r w:rsidRPr="00A55DE5">
        <w:rPr>
          <w:rFonts w:ascii="Arial" w:eastAsia="Times New Roman" w:hAnsi="Arial" w:cs="Arial"/>
          <w:color w:val="222222"/>
          <w:sz w:val="24"/>
          <w:szCs w:val="24"/>
          <w:lang w:eastAsia="es-UY"/>
        </w:rPr>
        <w:t> </w:t>
      </w:r>
    </w:p>
    <w:p w:rsidR="00A55DE5" w:rsidRPr="00A55DE5" w:rsidRDefault="00A55DE5" w:rsidP="00A55DE5">
      <w:pPr>
        <w:numPr>
          <w:ilvl w:val="0"/>
          <w:numId w:val="1"/>
        </w:numPr>
        <w:shd w:val="clear" w:color="auto" w:fill="FFFFFF"/>
        <w:spacing w:before="100" w:beforeAutospacing="1" w:after="100" w:afterAutospacing="1"/>
        <w:ind w:left="1228"/>
        <w:jc w:val="left"/>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Por eso se alejó de nosotros el derecho y no nos alcanzó la justicia. Esperábamos la luz, y hubo tinieblas, la claridad, y anduvimos en oscuridad. </w:t>
      </w:r>
      <w:r w:rsidRPr="00A55DE5">
        <w:rPr>
          <w:rFonts w:ascii="Arial" w:eastAsia="Times New Roman" w:hAnsi="Arial" w:cs="Arial"/>
          <w:color w:val="222222"/>
          <w:sz w:val="24"/>
          <w:szCs w:val="24"/>
          <w:lang w:val="en-US" w:eastAsia="es-UY"/>
        </w:rPr>
        <w:t>(Is 59:9)</w:t>
      </w:r>
      <w:r w:rsidRPr="00A55DE5">
        <w:rPr>
          <w:rFonts w:ascii="Arial" w:eastAsia="Times New Roman" w:hAnsi="Arial" w:cs="Arial"/>
          <w:color w:val="222222"/>
          <w:sz w:val="24"/>
          <w:szCs w:val="24"/>
          <w:lang w:eastAsia="es-UY"/>
        </w:rPr>
        <w:t> </w:t>
      </w:r>
    </w:p>
    <w:p w:rsidR="00A55DE5" w:rsidRPr="00A55DE5" w:rsidRDefault="00A55DE5" w:rsidP="00A55DE5">
      <w:pPr>
        <w:numPr>
          <w:ilvl w:val="0"/>
          <w:numId w:val="1"/>
        </w:numPr>
        <w:shd w:val="clear" w:color="auto" w:fill="FFFFFF"/>
        <w:spacing w:before="100" w:beforeAutospacing="1" w:after="100" w:afterAutospacing="1"/>
        <w:ind w:left="1228"/>
        <w:jc w:val="left"/>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El revela honduras y secretos, conoce lo que ocultan las tinieblas, y la luz mora junto a él. </w:t>
      </w:r>
      <w:r w:rsidRPr="00A55DE5">
        <w:rPr>
          <w:rFonts w:ascii="Arial" w:eastAsia="Times New Roman" w:hAnsi="Arial" w:cs="Arial"/>
          <w:color w:val="222222"/>
          <w:sz w:val="24"/>
          <w:szCs w:val="24"/>
          <w:lang w:val="en-US" w:eastAsia="es-UY"/>
        </w:rPr>
        <w:t>(Dn 2:22)</w:t>
      </w: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Los textos podrían multiplicarse, pero sirven para ver como el juego antagónico entre estas dos dimensiones del día sirven para expresar la vida misma. La literatura apocalíptica, habitualmente dualista, utilizará esto para contraponer dos vidas, dos existencias. Los hijos de la luz o de las tinieblas son –obviamente- quienes han elegido vivir de determinada manera, como lo son los frutos o las obras. </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Sin embargo, es interesante notar que la carta a los efesios, que tiene en cuenta un cierto “lenguaje” apocalíptico, como este, no lo traduce en una “teología” apocalíptica. Utiliza un modo de expresarse apocalíptico, pero no tiene un modo de pensar apocalíptico (pesimismo, determinación histórica, inminencia del fin…). </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El autor pone en contraste dos tipos de actitudes, aunque explicita las primeras y porque resulta vergonzoso, no menciona las segundas (aunque ha mencionado algunas en v.5: fornicario, impuro, codicioso; cf. v.3-4, donde también dice: “ni siquiera se mencione entre ustedes”). Las supone conocidas y el acento no está en combatir las tinieblas sino en alentar la luz. En Gal 5,22 Pablo había presentado la “bondad” (</w:t>
      </w:r>
      <w:r w:rsidRPr="00A55DE5">
        <w:rPr>
          <w:rFonts w:ascii="Arial" w:eastAsia="Times New Roman" w:hAnsi="Arial" w:cs="Arial"/>
          <w:i/>
          <w:iCs/>
          <w:color w:val="222222"/>
          <w:sz w:val="24"/>
          <w:szCs w:val="24"/>
          <w:lang w:eastAsia="es-UY"/>
        </w:rPr>
        <w:t>agathôsynê</w:t>
      </w:r>
      <w:r w:rsidRPr="00A55DE5">
        <w:rPr>
          <w:rFonts w:ascii="Arial" w:eastAsia="Times New Roman" w:hAnsi="Arial" w:cs="Arial"/>
          <w:color w:val="222222"/>
          <w:sz w:val="24"/>
          <w:szCs w:val="24"/>
          <w:lang w:eastAsia="es-UY"/>
        </w:rPr>
        <w:t>) como fruto del espíritu. La justicia y la verdad caracterizan al “</w:t>
      </w:r>
      <w:r w:rsidRPr="00A55DE5">
        <w:rPr>
          <w:rFonts w:ascii="Arial" w:eastAsia="Times New Roman" w:hAnsi="Arial" w:cs="Arial"/>
          <w:i/>
          <w:iCs/>
          <w:color w:val="222222"/>
          <w:sz w:val="24"/>
          <w:szCs w:val="24"/>
          <w:lang w:eastAsia="es-UY"/>
        </w:rPr>
        <w:t>hombre nuevo</w:t>
      </w:r>
      <w:r w:rsidRPr="00A55DE5">
        <w:rPr>
          <w:rFonts w:ascii="Arial" w:eastAsia="Times New Roman" w:hAnsi="Arial" w:cs="Arial"/>
          <w:color w:val="222222"/>
          <w:sz w:val="24"/>
          <w:szCs w:val="24"/>
          <w:lang w:eastAsia="es-UY"/>
        </w:rPr>
        <w:t>” (Ef 4,24) y conforman la “</w:t>
      </w:r>
      <w:r w:rsidRPr="00A55DE5">
        <w:rPr>
          <w:rFonts w:ascii="Arial" w:eastAsia="Times New Roman" w:hAnsi="Arial" w:cs="Arial"/>
          <w:i/>
          <w:iCs/>
          <w:color w:val="222222"/>
          <w:sz w:val="24"/>
          <w:szCs w:val="24"/>
          <w:lang w:eastAsia="es-UY"/>
        </w:rPr>
        <w:t>armadura</w:t>
      </w:r>
      <w:r w:rsidRPr="00A55DE5">
        <w:rPr>
          <w:rFonts w:ascii="Arial" w:eastAsia="Times New Roman" w:hAnsi="Arial" w:cs="Arial"/>
          <w:color w:val="222222"/>
          <w:sz w:val="24"/>
          <w:szCs w:val="24"/>
          <w:lang w:eastAsia="es-UY"/>
        </w:rPr>
        <w:t>” del cristiano: “cíñanse con el cinturón de la verdad, vistan la coraza de la justicia” (6:14; cf. 2 Cor 6,7). </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A este paso de una situación a otra lo llama “</w:t>
      </w:r>
      <w:r w:rsidRPr="00A55DE5">
        <w:rPr>
          <w:rFonts w:ascii="Arial" w:eastAsia="Times New Roman" w:hAnsi="Arial" w:cs="Arial"/>
          <w:i/>
          <w:iCs/>
          <w:color w:val="222222"/>
          <w:sz w:val="24"/>
          <w:szCs w:val="24"/>
          <w:lang w:eastAsia="es-UY"/>
        </w:rPr>
        <w:t>despertarse</w:t>
      </w:r>
      <w:r w:rsidRPr="00A55DE5">
        <w:rPr>
          <w:rFonts w:ascii="Arial" w:eastAsia="Times New Roman" w:hAnsi="Arial" w:cs="Arial"/>
          <w:color w:val="222222"/>
          <w:sz w:val="24"/>
          <w:szCs w:val="24"/>
          <w:lang w:eastAsia="es-UY"/>
        </w:rPr>
        <w:t>” (como en otra parte “revestirse”) “</w:t>
      </w:r>
      <w:r w:rsidRPr="00A55DE5">
        <w:rPr>
          <w:rFonts w:ascii="Arial" w:eastAsia="Times New Roman" w:hAnsi="Arial" w:cs="Arial"/>
          <w:i/>
          <w:iCs/>
          <w:color w:val="222222"/>
          <w:sz w:val="24"/>
          <w:szCs w:val="24"/>
          <w:lang w:eastAsia="es-UY"/>
        </w:rPr>
        <w:t>levantarse</w:t>
      </w:r>
      <w:r w:rsidRPr="00A55DE5">
        <w:rPr>
          <w:rFonts w:ascii="Arial" w:eastAsia="Times New Roman" w:hAnsi="Arial" w:cs="Arial"/>
          <w:color w:val="222222"/>
          <w:sz w:val="24"/>
          <w:szCs w:val="24"/>
          <w:lang w:eastAsia="es-UY"/>
        </w:rPr>
        <w:t>” a fin de dejarse iluminar por Cristo citando un probable himno bautismal de la comunidad (v.14). El ambiente de toda la exhortación parece ser bautismal.</w:t>
      </w:r>
    </w:p>
    <w:p w:rsidR="00A55DE5" w:rsidRPr="00A55DE5" w:rsidRDefault="00A55DE5" w:rsidP="00A55DE5">
      <w:pPr>
        <w:shd w:val="clear" w:color="auto" w:fill="FFFFFF"/>
        <w:spacing w:after="240"/>
        <w:jc w:val="left"/>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br/>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24"/>
          <w:szCs w:val="24"/>
          <w:lang w:eastAsia="es-UY"/>
        </w:rPr>
        <w:br/>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24"/>
          <w:szCs w:val="24"/>
          <w:lang w:eastAsia="es-UY"/>
        </w:rPr>
        <w:t>+ </w:t>
      </w:r>
      <w:r w:rsidRPr="00A55DE5">
        <w:rPr>
          <w:rFonts w:ascii="Arial" w:eastAsia="Times New Roman" w:hAnsi="Arial" w:cs="Arial"/>
          <w:b/>
          <w:bCs/>
          <w:color w:val="222222"/>
          <w:sz w:val="24"/>
          <w:szCs w:val="24"/>
          <w:lang w:eastAsia="es-UY"/>
        </w:rPr>
        <w:t>Evangelio según san Juan</w:t>
      </w:r>
      <w:r w:rsidRPr="00A55DE5">
        <w:rPr>
          <w:rFonts w:ascii="Arial" w:eastAsia="Times New Roman" w:hAnsi="Arial" w:cs="Arial"/>
          <w:color w:val="222222"/>
          <w:sz w:val="24"/>
          <w:szCs w:val="24"/>
          <w:lang w:eastAsia="es-UY"/>
        </w:rPr>
        <w:t>     9, 1-41</w:t>
      </w:r>
      <w:r w:rsidRPr="00A55DE5">
        <w:rPr>
          <w:rFonts w:ascii="Arial" w:eastAsia="Times New Roman" w:hAnsi="Arial" w:cs="Arial"/>
          <w:color w:val="222222"/>
          <w:sz w:val="24"/>
          <w:szCs w:val="24"/>
          <w:lang w:eastAsia="es-UY"/>
        </w:rPr>
        <w:br/>
      </w:r>
      <w:r w:rsidRPr="00A55DE5">
        <w:rPr>
          <w:rFonts w:ascii="Arial" w:eastAsia="Times New Roman" w:hAnsi="Arial" w:cs="Arial"/>
          <w:color w:val="222222"/>
          <w:sz w:val="24"/>
          <w:szCs w:val="24"/>
          <w:lang w:eastAsia="es-UY"/>
        </w:rPr>
        <w:br/>
      </w:r>
      <w:r w:rsidRPr="00A55DE5">
        <w:rPr>
          <w:rFonts w:ascii="Arial" w:eastAsia="Times New Roman" w:hAnsi="Arial" w:cs="Arial"/>
          <w:i/>
          <w:iCs/>
          <w:color w:val="222222"/>
          <w:sz w:val="24"/>
          <w:szCs w:val="24"/>
          <w:lang w:eastAsia="es-UY"/>
        </w:rPr>
        <w:t>Resumen: Juan establece una estrecha relación simbólica entre Jesús, que es la luz y el que accede a la fe que es el que comienza –paulatinamente- a ver. Por el contrario, los que se niegan a creer resultan ser los verdaderos ciegos.</w:t>
      </w:r>
      <w:r w:rsidRPr="00A55DE5">
        <w:rPr>
          <w:rFonts w:ascii="Arial" w:eastAsia="Times New Roman" w:hAnsi="Arial" w:cs="Arial"/>
          <w:color w:val="222222"/>
          <w:sz w:val="11"/>
          <w:szCs w:val="11"/>
          <w:lang w:eastAsia="es-UY"/>
        </w:rPr>
        <w:br/>
      </w: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La escena del así llamado “ciego de nacimiento” está llena de profundo contenido en el Evangelio. Es realmente imposible comentar todo el relato en unos pocos párrafos. Es evidente que el texto, en el conjunto de las restantes lecturas del día se centra en el tema de la luz, y este es el eje del relato. Sin embargo, la idea principal no está expresamente indicada en el texto sino en el capítulo precedente: “</w:t>
      </w:r>
      <w:r w:rsidRPr="00A55DE5">
        <w:rPr>
          <w:rFonts w:ascii="Arial" w:eastAsia="Times New Roman" w:hAnsi="Arial" w:cs="Arial"/>
          <w:i/>
          <w:iCs/>
          <w:color w:val="222222"/>
          <w:sz w:val="24"/>
          <w:szCs w:val="24"/>
          <w:lang w:eastAsia="es-UY"/>
        </w:rPr>
        <w:t>yo soy la luz del mundo</w:t>
      </w:r>
      <w:r w:rsidRPr="00A55DE5">
        <w:rPr>
          <w:rFonts w:ascii="Arial" w:eastAsia="Times New Roman" w:hAnsi="Arial" w:cs="Arial"/>
          <w:color w:val="222222"/>
          <w:sz w:val="24"/>
          <w:szCs w:val="24"/>
          <w:lang w:eastAsia="es-UY"/>
        </w:rPr>
        <w:t xml:space="preserve">” (8,12). Lo más cercano lo </w:t>
      </w:r>
      <w:r w:rsidRPr="00A55DE5">
        <w:rPr>
          <w:rFonts w:ascii="Arial" w:eastAsia="Times New Roman" w:hAnsi="Arial" w:cs="Arial"/>
          <w:color w:val="222222"/>
          <w:sz w:val="24"/>
          <w:szCs w:val="24"/>
          <w:lang w:eastAsia="es-UY"/>
        </w:rPr>
        <w:lastRenderedPageBreak/>
        <w:t>encontramos en 9,5 “soy la luz” (</w:t>
      </w:r>
      <w:r w:rsidRPr="00A55DE5">
        <w:rPr>
          <w:rFonts w:ascii="Arial" w:eastAsia="Times New Roman" w:hAnsi="Arial" w:cs="Arial"/>
          <w:i/>
          <w:iCs/>
          <w:color w:val="222222"/>
          <w:sz w:val="24"/>
          <w:szCs w:val="24"/>
          <w:lang w:eastAsia="es-UY"/>
        </w:rPr>
        <w:t>fôs eimi</w:t>
      </w:r>
      <w:r w:rsidRPr="00A55DE5">
        <w:rPr>
          <w:rFonts w:ascii="Arial" w:eastAsia="Times New Roman" w:hAnsi="Arial" w:cs="Arial"/>
          <w:color w:val="222222"/>
          <w:sz w:val="24"/>
          <w:szCs w:val="24"/>
          <w:lang w:eastAsia="es-UY"/>
        </w:rPr>
        <w:t>; no es sin importancia el uso de “</w:t>
      </w:r>
      <w:r w:rsidRPr="00A55DE5">
        <w:rPr>
          <w:rFonts w:ascii="Arial" w:eastAsia="Times New Roman" w:hAnsi="Arial" w:cs="Arial"/>
          <w:i/>
          <w:iCs/>
          <w:color w:val="222222"/>
          <w:sz w:val="24"/>
          <w:szCs w:val="24"/>
          <w:lang w:eastAsia="es-UY"/>
        </w:rPr>
        <w:t>yo soy</w:t>
      </w:r>
      <w:r w:rsidRPr="00A55DE5">
        <w:rPr>
          <w:rFonts w:ascii="Arial" w:eastAsia="Times New Roman" w:hAnsi="Arial" w:cs="Arial"/>
          <w:color w:val="222222"/>
          <w:sz w:val="24"/>
          <w:szCs w:val="24"/>
          <w:lang w:eastAsia="es-UY"/>
        </w:rPr>
        <w:t>” de tanta trascendencia autorevelatoria en el Evangelio de Juan).</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Cronológicamente la unidad es muy extensa; comienza en 7,1-2 donde se nos afirma que estamos en la fiesta de las Tiendas; la unidad finaliza en 10,21 –donde vuelve a aludir a la curación del ciego ya que en 10,22 se alude a la fiesta de la Dedicación. La unidad 7-8 (con la exclusión de 7,53-8,11 que no pertenece al Evangelio) presenta una serie de discusiones sobre quién es Jesús frente a su auditorio. Ante la “pretensión” de Jesús de ser igual a Dios por llamarlo “padre” (cf. 5,18) él culmina utilizando el mismo nombre divino: “yo soy” (8,58) con lo que deciden apedrearlo, y él se oculta. Este movimiento escénico permite la introducción de la nueva unidad, la del ciego. </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El doble “</w:t>
      </w:r>
      <w:r w:rsidRPr="00A55DE5">
        <w:rPr>
          <w:rFonts w:ascii="Arial" w:eastAsia="Times New Roman" w:hAnsi="Arial" w:cs="Arial"/>
          <w:i/>
          <w:iCs/>
          <w:color w:val="222222"/>
          <w:sz w:val="24"/>
          <w:szCs w:val="24"/>
          <w:lang w:eastAsia="es-UY"/>
        </w:rPr>
        <w:t>en verdad</w:t>
      </w:r>
      <w:r w:rsidRPr="00A55DE5">
        <w:rPr>
          <w:rFonts w:ascii="Arial" w:eastAsia="Times New Roman" w:hAnsi="Arial" w:cs="Arial"/>
          <w:color w:val="222222"/>
          <w:sz w:val="24"/>
          <w:szCs w:val="24"/>
          <w:lang w:eastAsia="es-UY"/>
        </w:rPr>
        <w:t>” de 10,1 –que es tan importante en Juan- da comienzo a una nueva unidad siendo, entonces, que todo el cap.9 puede tenerse como unitario a pesar de las relaciones previas (“</w:t>
      </w:r>
      <w:r w:rsidRPr="00A55DE5">
        <w:rPr>
          <w:rFonts w:ascii="Arial" w:eastAsia="Times New Roman" w:hAnsi="Arial" w:cs="Arial"/>
          <w:i/>
          <w:iCs/>
          <w:color w:val="222222"/>
          <w:sz w:val="24"/>
          <w:szCs w:val="24"/>
          <w:lang w:eastAsia="es-UY"/>
        </w:rPr>
        <w:t>yo soy la luz</w:t>
      </w:r>
      <w:r w:rsidRPr="00A55DE5">
        <w:rPr>
          <w:rFonts w:ascii="Arial" w:eastAsia="Times New Roman" w:hAnsi="Arial" w:cs="Arial"/>
          <w:color w:val="222222"/>
          <w:sz w:val="24"/>
          <w:szCs w:val="24"/>
          <w:lang w:eastAsia="es-UY"/>
        </w:rPr>
        <w:t>”) y posteriores </w:t>
      </w:r>
      <w:r w:rsidRPr="00A55DE5">
        <w:rPr>
          <w:rFonts w:ascii="Arial" w:eastAsia="Times New Roman" w:hAnsi="Arial" w:cs="Arial"/>
          <w:i/>
          <w:iCs/>
          <w:color w:val="222222"/>
          <w:sz w:val="24"/>
          <w:szCs w:val="24"/>
          <w:lang w:eastAsia="es-UY"/>
        </w:rPr>
        <w:t>(“¿quién puede abrir los ojos a un ciego?</w:t>
      </w:r>
      <w:r w:rsidRPr="00A55DE5">
        <w:rPr>
          <w:rFonts w:ascii="Arial" w:eastAsia="Times New Roman" w:hAnsi="Arial" w:cs="Arial"/>
          <w:color w:val="222222"/>
          <w:sz w:val="24"/>
          <w:szCs w:val="24"/>
          <w:lang w:eastAsia="es-UY"/>
        </w:rPr>
        <w:t>”) a las que ya hicimos referencia.</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Algunas pequeñas notas antes de entrar en el tema principal:</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Symbol" w:eastAsia="Times New Roman" w:hAnsi="Symbol" w:cs="Arial"/>
          <w:color w:val="222222"/>
          <w:sz w:val="24"/>
          <w:szCs w:val="24"/>
          <w:lang w:eastAsia="es-UY"/>
        </w:rPr>
        <w:t></w:t>
      </w:r>
      <w:r w:rsidRPr="00A55DE5">
        <w:rPr>
          <w:rFonts w:ascii="Times New Roman" w:eastAsia="Times New Roman" w:hAnsi="Times New Roman" w:cs="Times New Roman"/>
          <w:color w:val="222222"/>
          <w:sz w:val="24"/>
          <w:szCs w:val="24"/>
          <w:lang w:eastAsia="es-UY"/>
        </w:rPr>
        <w:t>  </w:t>
      </w:r>
      <w:r w:rsidRPr="00A55DE5">
        <w:rPr>
          <w:rFonts w:ascii="Arial" w:eastAsia="Times New Roman" w:hAnsi="Arial" w:cs="Arial"/>
          <w:color w:val="222222"/>
          <w:sz w:val="24"/>
          <w:szCs w:val="24"/>
          <w:lang w:eastAsia="es-UY"/>
        </w:rPr>
        <w:t>Los discípulos se hacen eco de la teoría de la retribución (v.2) para la cual el nacimiento de una persona ciega suponía un pecado como causa. Jesús no acepta esta teología tradicional (v.3).</w:t>
      </w: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    En los sinópticos encontramos también curación de ciegos y curaciones en sábado; la densidad teológica de este relato viene dada fundamentalmente por el encuentro del ciego con Jesús y su acceso a la fe.</w:t>
      </w: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Times New Roman" w:eastAsia="Times New Roman" w:hAnsi="Times New Roman" w:cs="Times New Roman"/>
          <w:color w:val="222222"/>
          <w:sz w:val="24"/>
          <w:szCs w:val="24"/>
          <w:lang w:eastAsia="es-UY"/>
        </w:rPr>
        <w:t>     </w:t>
      </w:r>
      <w:r w:rsidRPr="00A55DE5">
        <w:rPr>
          <w:rFonts w:ascii="Arial" w:eastAsia="Times New Roman" w:hAnsi="Arial" w:cs="Arial"/>
          <w:color w:val="222222"/>
          <w:sz w:val="24"/>
          <w:szCs w:val="24"/>
          <w:lang w:eastAsia="es-UY"/>
        </w:rPr>
        <w:t>El contexto de la fiesta de las Tiendas ayuda a profundizar el sentido del relato: los judíos viven en tiendas durante la mañana de los siete días de la fiesta y van a la piscina de Siloé. Jesús se manifiesta como el enviado de Dios que dará el agua- espíritu (7,37-39). La iluminación del atrio del Templo el primer día de la fiesta dejaba toda la ciudad iluminada aquella noche.</w:t>
      </w: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Times New Roman" w:eastAsia="Times New Roman" w:hAnsi="Times New Roman" w:cs="Times New Roman"/>
          <w:color w:val="222222"/>
          <w:sz w:val="24"/>
          <w:szCs w:val="24"/>
          <w:lang w:eastAsia="es-UY"/>
        </w:rPr>
        <w:t>    </w:t>
      </w:r>
      <w:r w:rsidRPr="00A55DE5">
        <w:rPr>
          <w:rFonts w:ascii="Arial" w:eastAsia="Times New Roman" w:hAnsi="Arial" w:cs="Arial"/>
          <w:color w:val="222222"/>
          <w:sz w:val="24"/>
          <w:szCs w:val="24"/>
          <w:lang w:eastAsia="es-UY"/>
        </w:rPr>
        <w:t>Dentro de las cosas que más expresa y claramente estaba prohibido hacer en sábado está el barro (porque es material de construcción o de alfarería). Es interesante notar la insistencia en que Jesús hizo barro (x5 en la unidad): “</w:t>
      </w:r>
      <w:r w:rsidRPr="00A55DE5">
        <w:rPr>
          <w:rFonts w:ascii="Arial" w:eastAsia="Times New Roman" w:hAnsi="Arial" w:cs="Arial"/>
          <w:i/>
          <w:iCs/>
          <w:color w:val="222222"/>
          <w:sz w:val="24"/>
          <w:szCs w:val="24"/>
          <w:lang w:eastAsia="es-UY"/>
        </w:rPr>
        <w:t>era sábado el día que Jesús hizo barro y le abrió los ojos</w:t>
      </w:r>
      <w:r w:rsidRPr="00A55DE5">
        <w:rPr>
          <w:rFonts w:ascii="Arial" w:eastAsia="Times New Roman" w:hAnsi="Arial" w:cs="Arial"/>
          <w:color w:val="222222"/>
          <w:sz w:val="24"/>
          <w:szCs w:val="24"/>
          <w:lang w:eastAsia="es-UY"/>
        </w:rPr>
        <w:t>” (v.14).</w:t>
      </w: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Times New Roman" w:eastAsia="Times New Roman" w:hAnsi="Times New Roman" w:cs="Times New Roman"/>
          <w:color w:val="222222"/>
          <w:sz w:val="24"/>
          <w:szCs w:val="24"/>
          <w:lang w:eastAsia="es-UY"/>
        </w:rPr>
        <w:t>    </w:t>
      </w:r>
      <w:r w:rsidRPr="00A55DE5">
        <w:rPr>
          <w:rFonts w:ascii="Arial" w:eastAsia="Times New Roman" w:hAnsi="Arial" w:cs="Arial"/>
          <w:color w:val="222222"/>
          <w:sz w:val="24"/>
          <w:szCs w:val="24"/>
          <w:lang w:eastAsia="es-UY"/>
        </w:rPr>
        <w:t>El texto alude expresamente a que “</w:t>
      </w:r>
      <w:r w:rsidRPr="00A55DE5">
        <w:rPr>
          <w:rFonts w:ascii="Arial" w:eastAsia="Times New Roman" w:hAnsi="Arial" w:cs="Arial"/>
          <w:i/>
          <w:iCs/>
          <w:color w:val="222222"/>
          <w:sz w:val="24"/>
          <w:szCs w:val="24"/>
          <w:lang w:eastAsia="es-UY"/>
        </w:rPr>
        <w:t>los judíos</w:t>
      </w:r>
      <w:r w:rsidRPr="00A55DE5">
        <w:rPr>
          <w:rFonts w:ascii="Arial" w:eastAsia="Times New Roman" w:hAnsi="Arial" w:cs="Arial"/>
          <w:color w:val="222222"/>
          <w:sz w:val="24"/>
          <w:szCs w:val="24"/>
          <w:lang w:eastAsia="es-UY"/>
        </w:rPr>
        <w:t>” se habían puesto de acuerdo en expulsar de la sinagoga a cualquiera “</w:t>
      </w:r>
      <w:r w:rsidRPr="00A55DE5">
        <w:rPr>
          <w:rFonts w:ascii="Arial" w:eastAsia="Times New Roman" w:hAnsi="Arial" w:cs="Arial"/>
          <w:i/>
          <w:iCs/>
          <w:color w:val="222222"/>
          <w:sz w:val="24"/>
          <w:szCs w:val="24"/>
          <w:lang w:eastAsia="es-UY"/>
        </w:rPr>
        <w:t>que lo reconocía</w:t>
      </w:r>
      <w:r w:rsidRPr="00A55DE5">
        <w:rPr>
          <w:rFonts w:ascii="Arial" w:eastAsia="Times New Roman" w:hAnsi="Arial" w:cs="Arial"/>
          <w:color w:val="222222"/>
          <w:sz w:val="24"/>
          <w:szCs w:val="24"/>
          <w:lang w:eastAsia="es-UY"/>
        </w:rPr>
        <w:t> (a Jesús) </w:t>
      </w:r>
      <w:r w:rsidRPr="00A55DE5">
        <w:rPr>
          <w:rFonts w:ascii="Arial" w:eastAsia="Times New Roman" w:hAnsi="Arial" w:cs="Arial"/>
          <w:i/>
          <w:iCs/>
          <w:color w:val="222222"/>
          <w:sz w:val="24"/>
          <w:szCs w:val="24"/>
          <w:lang w:eastAsia="es-UY"/>
        </w:rPr>
        <w:t>como Cristo</w:t>
      </w:r>
      <w:r w:rsidRPr="00A55DE5">
        <w:rPr>
          <w:rFonts w:ascii="Arial" w:eastAsia="Times New Roman" w:hAnsi="Arial" w:cs="Arial"/>
          <w:color w:val="222222"/>
          <w:sz w:val="24"/>
          <w:szCs w:val="24"/>
          <w:lang w:eastAsia="es-UY"/>
        </w:rPr>
        <w:t>” (v.22). Esto no es imaginable en tiempos de Jesús, pero sí muy comprensible en tiempos de la redacción del Evangelio. Los miembros de la comunidad joánica son expulsados de la sinagoga por reconocer a Jesús como el Mesías.</w:t>
      </w: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Times New Roman" w:eastAsia="Times New Roman" w:hAnsi="Times New Roman" w:cs="Times New Roman"/>
          <w:color w:val="222222"/>
          <w:sz w:val="24"/>
          <w:szCs w:val="24"/>
          <w:lang w:eastAsia="es-UY"/>
        </w:rPr>
        <w:t>   </w:t>
      </w:r>
      <w:r w:rsidRPr="00A55DE5">
        <w:rPr>
          <w:rFonts w:ascii="Arial" w:eastAsia="Times New Roman" w:hAnsi="Arial" w:cs="Arial"/>
          <w:color w:val="222222"/>
          <w:sz w:val="24"/>
          <w:szCs w:val="24"/>
          <w:lang w:eastAsia="es-UY"/>
        </w:rPr>
        <w:t xml:space="preserve">Como otras escenas del Evangelio, el esquema del corazón del relato parece judicial. Los “judíos” (de tiempos de Juan) llaman testigos diversos a fin de poder aclarar la situación. En el fondo, se puede decir que todo Juan es compuesto como un gran “juicio” en </w:t>
      </w:r>
      <w:r w:rsidRPr="00A55DE5">
        <w:rPr>
          <w:rFonts w:ascii="Arial" w:eastAsia="Times New Roman" w:hAnsi="Arial" w:cs="Arial"/>
          <w:color w:val="222222"/>
          <w:sz w:val="24"/>
          <w:szCs w:val="24"/>
          <w:lang w:eastAsia="es-UY"/>
        </w:rPr>
        <w:lastRenderedPageBreak/>
        <w:t>el que nosotros, los lectores, jugamos nuestra suerte según nuestra postura frente a Jesús. Al juzgar negativamente sobre Jesús los “judíos” son ellos mismos juzgados.</w:t>
      </w: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Times New Roman" w:eastAsia="Times New Roman" w:hAnsi="Times New Roman" w:cs="Times New Roman"/>
          <w:color w:val="222222"/>
          <w:sz w:val="24"/>
          <w:szCs w:val="24"/>
          <w:lang w:eastAsia="es-UY"/>
        </w:rPr>
        <w:t>     </w:t>
      </w:r>
      <w:r w:rsidRPr="00A55DE5">
        <w:rPr>
          <w:rFonts w:ascii="Arial" w:eastAsia="Times New Roman" w:hAnsi="Arial" w:cs="Arial"/>
          <w:color w:val="222222"/>
          <w:sz w:val="24"/>
          <w:szCs w:val="24"/>
          <w:lang w:eastAsia="es-UY"/>
        </w:rPr>
        <w:t>Empezando y terminando el interrogatorio (vv.6-7 y 35-41) volvemos a encontrar a Jesús con el ciego.</w:t>
      </w:r>
    </w:p>
    <w:p w:rsidR="00A55DE5" w:rsidRPr="00A55DE5" w:rsidRDefault="00A55DE5" w:rsidP="00A55DE5">
      <w:pPr>
        <w:numPr>
          <w:ilvl w:val="0"/>
          <w:numId w:val="2"/>
        </w:numPr>
        <w:shd w:val="clear" w:color="auto" w:fill="FFFFFF"/>
        <w:spacing w:before="100" w:beforeAutospacing="1" w:after="100" w:afterAutospacing="1"/>
        <w:ind w:left="1228"/>
        <w:rPr>
          <w:rFonts w:ascii="Arial" w:eastAsia="Times New Roman" w:hAnsi="Arial" w:cs="Arial"/>
          <w:color w:val="222222"/>
          <w:sz w:val="11"/>
          <w:szCs w:val="11"/>
          <w:lang w:eastAsia="es-UY"/>
        </w:rPr>
      </w:pPr>
      <w:r w:rsidRPr="00A55DE5">
        <w:rPr>
          <w:rFonts w:ascii="Times New Roman" w:eastAsia="Times New Roman" w:hAnsi="Times New Roman" w:cs="Times New Roman"/>
          <w:color w:val="222222"/>
          <w:sz w:val="24"/>
          <w:szCs w:val="24"/>
          <w:lang w:eastAsia="es-UY"/>
        </w:rPr>
        <w:t>    </w:t>
      </w:r>
      <w:r w:rsidRPr="00A55DE5">
        <w:rPr>
          <w:rFonts w:ascii="Arial" w:eastAsia="Times New Roman" w:hAnsi="Arial" w:cs="Arial"/>
          <w:color w:val="222222"/>
          <w:sz w:val="24"/>
          <w:szCs w:val="24"/>
          <w:lang w:eastAsia="es-UY"/>
        </w:rPr>
        <w:t>Un tema que subyace este texto y muchos otros de la teología joánica es el título cristológico del “enviado”. Para el mundo judío, el “enviado” del Sanedrín o de la comunidad tiene ante los destinatarios la misma autoridad que tiene quien envía; lo que él diga lo dicen ellos, lo que haga, lo hacen ellos. Este personaje es llamado “Seliah” (= enviado). Es de notar que Juan juega con las palabras al aludir a Siloe que tiene las mismas consonantes del enviado (v.7). Así, Jesús lo que dice y hace es algo que dice y hace su mismo Padre que es quien lo ha enviado (v.4). Juan utiliza dos verbos griegos: </w:t>
      </w:r>
      <w:r w:rsidRPr="00A55DE5">
        <w:rPr>
          <w:rFonts w:ascii="Arial" w:eastAsia="Times New Roman" w:hAnsi="Arial" w:cs="Arial"/>
          <w:i/>
          <w:iCs/>
          <w:color w:val="222222"/>
          <w:sz w:val="24"/>
          <w:szCs w:val="24"/>
          <w:lang w:eastAsia="es-UY"/>
        </w:rPr>
        <w:t>pémpsantós</w:t>
      </w:r>
      <w:r w:rsidRPr="00A55DE5">
        <w:rPr>
          <w:rFonts w:ascii="Arial" w:eastAsia="Times New Roman" w:hAnsi="Arial" w:cs="Arial"/>
          <w:color w:val="222222"/>
          <w:sz w:val="24"/>
          <w:szCs w:val="24"/>
          <w:lang w:eastAsia="es-UY"/>
        </w:rPr>
        <w:t> (x9; cf. 9,4) y </w:t>
      </w:r>
      <w:r w:rsidRPr="00A55DE5">
        <w:rPr>
          <w:rFonts w:ascii="Arial" w:eastAsia="Times New Roman" w:hAnsi="Arial" w:cs="Arial"/>
          <w:i/>
          <w:iCs/>
          <w:color w:val="222222"/>
          <w:sz w:val="24"/>
          <w:szCs w:val="24"/>
          <w:lang w:eastAsia="es-UY"/>
        </w:rPr>
        <w:t>apestalménos</w:t>
      </w:r>
      <w:r w:rsidRPr="00A55DE5">
        <w:rPr>
          <w:rFonts w:ascii="Arial" w:eastAsia="Times New Roman" w:hAnsi="Arial" w:cs="Arial"/>
          <w:color w:val="222222"/>
          <w:sz w:val="24"/>
          <w:szCs w:val="24"/>
          <w:lang w:eastAsia="es-UY"/>
        </w:rPr>
        <w:t> (x3; cf. 9,7) con sentido aparentemente similar (del segundo verbo surge el término “apóstol” que significa, precisamente “enviado”). Jesús, como enviado del Padre no habla sino lo que ha escuchado, no hace sino lo que le ha encomendado el Padre. Es “el Padre entre nosotros”.</w:t>
      </w: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Sin embargo, el tema clave del texto hace referencia a la luz. Luz a la que accede el ciego. Él no puede ver, y en el interrogatorio habla de Jesús como “ese hombre” (v.9), pero a medida que se desarrolla el juicio al que somos sometidos frente a Jesús, pasa a confesar que “es un profeta” (v.17); en v.25 pone en duda que Jesús sea “un pecador”, ya que (v.31) si uno cumple su voluntad, Dios lo escucha. Finalmente, cuando reencuentra a Jesús él le pregunta si cree en el hijo del hombre, su respuesta no deja lugar a dudas: ¿quién es, “para que crea”? (v.36), cuando Jesús le afirma “lo has visto” su respuesta es indudable: “creo, y lo adoró” (v.38). El paso de “hombre” a “Dios” (= adoración) no da lugar a la duda de a qué tipo de visión se refiere el Evangelio. Creer o no en Jesús es lo que permite “ver”, algo que sólo es posible ya que él es “la luz”. </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El contraste con los “judíos”, aquí fariseos, es evidente; el “juicio” (v.39) se ha desencadenado, es decir, la actitud que los seres humanos tomemos frente a Jesús. Jesús lo formula con una frase lapidaria: «</w:t>
      </w:r>
      <w:r w:rsidRPr="00A55DE5">
        <w:rPr>
          <w:rFonts w:ascii="Arial" w:eastAsia="Times New Roman" w:hAnsi="Arial" w:cs="Arial"/>
          <w:i/>
          <w:iCs/>
          <w:color w:val="222222"/>
          <w:sz w:val="24"/>
          <w:szCs w:val="24"/>
          <w:lang w:eastAsia="es-UY"/>
        </w:rPr>
        <w:t>Si fueran ciegos, no tendrían pecado; pero, como dicen: “Vemos”, el pecado de ustedes permanece</w:t>
      </w:r>
      <w:r w:rsidRPr="00A55DE5">
        <w:rPr>
          <w:rFonts w:ascii="Arial" w:eastAsia="Times New Roman" w:hAnsi="Arial" w:cs="Arial"/>
          <w:color w:val="222222"/>
          <w:sz w:val="24"/>
          <w:szCs w:val="24"/>
          <w:lang w:eastAsia="es-UY"/>
        </w:rPr>
        <w:t>». (v.41). “No hay peor ciego que el que no quiere ver”, los que se niegan a aceptar a Jesús son los verdaderos ciegos de la historia.</w:t>
      </w:r>
    </w:p>
    <w:p w:rsidR="00A55DE5" w:rsidRPr="00A55DE5" w:rsidRDefault="00A55DE5" w:rsidP="00A55DE5">
      <w:pPr>
        <w:shd w:val="clear" w:color="auto" w:fill="FFFFFF"/>
        <w:rPr>
          <w:rFonts w:ascii="Arial" w:eastAsia="Times New Roman" w:hAnsi="Arial" w:cs="Arial"/>
          <w:color w:val="222222"/>
          <w:sz w:val="11"/>
          <w:szCs w:val="11"/>
          <w:lang w:eastAsia="es-UY"/>
        </w:rPr>
      </w:pPr>
    </w:p>
    <w:p w:rsidR="00A55DE5" w:rsidRPr="00A55DE5" w:rsidRDefault="00A55DE5" w:rsidP="00A55DE5">
      <w:pPr>
        <w:shd w:val="clear" w:color="auto" w:fill="FFFFFF"/>
        <w:jc w:val="left"/>
        <w:rPr>
          <w:rFonts w:ascii="Arial" w:eastAsia="Times New Roman" w:hAnsi="Arial" w:cs="Arial"/>
          <w:color w:val="222222"/>
          <w:sz w:val="11"/>
          <w:szCs w:val="11"/>
          <w:lang w:eastAsia="es-UY"/>
        </w:rPr>
      </w:pPr>
    </w:p>
    <w:p w:rsidR="00A55DE5" w:rsidRPr="00A55DE5" w:rsidRDefault="00A55DE5" w:rsidP="00A55DE5">
      <w:pPr>
        <w:shd w:val="clear" w:color="auto" w:fill="FFFFFF"/>
        <w:rPr>
          <w:rFonts w:ascii="Arial" w:eastAsia="Times New Roman" w:hAnsi="Arial" w:cs="Arial"/>
          <w:color w:val="222222"/>
          <w:sz w:val="11"/>
          <w:szCs w:val="11"/>
          <w:lang w:eastAsia="es-UY"/>
        </w:rPr>
      </w:pPr>
      <w:r w:rsidRPr="00A55DE5">
        <w:rPr>
          <w:rFonts w:ascii="Arial" w:eastAsia="Times New Roman" w:hAnsi="Arial" w:cs="Arial"/>
          <w:color w:val="222222"/>
          <w:sz w:val="24"/>
          <w:szCs w:val="24"/>
          <w:lang w:eastAsia="es-UY"/>
        </w:rPr>
        <w:t>Una breve nota sobre el uso de “</w:t>
      </w:r>
      <w:r w:rsidRPr="00A55DE5">
        <w:rPr>
          <w:rFonts w:ascii="Arial" w:eastAsia="Times New Roman" w:hAnsi="Arial" w:cs="Arial"/>
          <w:i/>
          <w:iCs/>
          <w:color w:val="222222"/>
          <w:sz w:val="24"/>
          <w:szCs w:val="24"/>
          <w:lang w:eastAsia="es-UY"/>
        </w:rPr>
        <w:t>permanecer</w:t>
      </w:r>
      <w:r w:rsidRPr="00A55DE5">
        <w:rPr>
          <w:rFonts w:ascii="Arial" w:eastAsia="Times New Roman" w:hAnsi="Arial" w:cs="Arial"/>
          <w:color w:val="222222"/>
          <w:sz w:val="24"/>
          <w:szCs w:val="24"/>
          <w:lang w:eastAsia="es-UY"/>
        </w:rPr>
        <w:t>” en Juan. En Juan, el verbo permanecer revela una interconexión intensa entre dos personas: Jesús y el Padre, Jesús y “los suyos”, como las de la rama a la vid. Y esa interacción permite dar fruto (notar la frecuencia del verbo en 15,1-17). Sólo tiene sentido permanecer en Jesús. Hay una cierta relación entre este “</w:t>
      </w:r>
      <w:r w:rsidRPr="00A55DE5">
        <w:rPr>
          <w:rFonts w:ascii="Arial" w:eastAsia="Times New Roman" w:hAnsi="Arial" w:cs="Arial"/>
          <w:i/>
          <w:iCs/>
          <w:color w:val="222222"/>
          <w:sz w:val="24"/>
          <w:szCs w:val="24"/>
          <w:lang w:eastAsia="es-UY"/>
        </w:rPr>
        <w:t>permanecer</w:t>
      </w:r>
      <w:r w:rsidRPr="00A55DE5">
        <w:rPr>
          <w:rFonts w:ascii="Arial" w:eastAsia="Times New Roman" w:hAnsi="Arial" w:cs="Arial"/>
          <w:color w:val="222222"/>
          <w:sz w:val="24"/>
          <w:szCs w:val="24"/>
          <w:lang w:eastAsia="es-UY"/>
        </w:rPr>
        <w:t>” y ser “</w:t>
      </w:r>
      <w:r w:rsidRPr="00A55DE5">
        <w:rPr>
          <w:rFonts w:ascii="Arial" w:eastAsia="Times New Roman" w:hAnsi="Arial" w:cs="Arial"/>
          <w:i/>
          <w:iCs/>
          <w:color w:val="222222"/>
          <w:sz w:val="24"/>
          <w:szCs w:val="24"/>
          <w:lang w:eastAsia="es-UY"/>
        </w:rPr>
        <w:t>enviado</w:t>
      </w:r>
      <w:r w:rsidRPr="00A55DE5">
        <w:rPr>
          <w:rFonts w:ascii="Arial" w:eastAsia="Times New Roman" w:hAnsi="Arial" w:cs="Arial"/>
          <w:color w:val="222222"/>
          <w:sz w:val="24"/>
          <w:szCs w:val="24"/>
          <w:lang w:eastAsia="es-UY"/>
        </w:rPr>
        <w:t>”: «</w:t>
      </w:r>
      <w:r w:rsidRPr="00A55DE5">
        <w:rPr>
          <w:rFonts w:ascii="Arial" w:eastAsia="Times New Roman" w:hAnsi="Arial" w:cs="Arial"/>
          <w:i/>
          <w:iCs/>
          <w:color w:val="222222"/>
          <w:sz w:val="24"/>
          <w:szCs w:val="24"/>
          <w:lang w:eastAsia="es-UY"/>
        </w:rPr>
        <w:t>El que come mi carne y bebe mi sangre, permanece en mí, y yo en él. Lo mismo que el Padre, que vive, me ha enviado y yo vivo por el Padre, también el que me coma vivirá por mí</w:t>
      </w:r>
      <w:r w:rsidRPr="00A55DE5">
        <w:rPr>
          <w:rFonts w:ascii="Arial" w:eastAsia="Times New Roman" w:hAnsi="Arial" w:cs="Arial"/>
          <w:color w:val="222222"/>
          <w:sz w:val="24"/>
          <w:szCs w:val="24"/>
          <w:lang w:eastAsia="es-UY"/>
        </w:rPr>
        <w:t>» (6:56-57). «</w:t>
      </w:r>
      <w:r w:rsidRPr="00A55DE5">
        <w:rPr>
          <w:rFonts w:ascii="Arial" w:eastAsia="Times New Roman" w:hAnsi="Arial" w:cs="Arial"/>
          <w:i/>
          <w:iCs/>
          <w:color w:val="222222"/>
          <w:sz w:val="24"/>
          <w:szCs w:val="24"/>
          <w:lang w:eastAsia="es-UY"/>
        </w:rPr>
        <w:t xml:space="preserve">Las palabras que les digo, no las digo por mi cuenta; el Padre que permanece en mí es el que realiza las </w:t>
      </w:r>
      <w:r w:rsidRPr="00A55DE5">
        <w:rPr>
          <w:rFonts w:ascii="Arial" w:eastAsia="Times New Roman" w:hAnsi="Arial" w:cs="Arial"/>
          <w:i/>
          <w:iCs/>
          <w:color w:val="222222"/>
          <w:sz w:val="24"/>
          <w:szCs w:val="24"/>
          <w:lang w:eastAsia="es-UY"/>
        </w:rPr>
        <w:lastRenderedPageBreak/>
        <w:t>obras</w:t>
      </w:r>
      <w:r w:rsidRPr="00A55DE5">
        <w:rPr>
          <w:rFonts w:ascii="Arial" w:eastAsia="Times New Roman" w:hAnsi="Arial" w:cs="Arial"/>
          <w:color w:val="222222"/>
          <w:sz w:val="24"/>
          <w:szCs w:val="24"/>
          <w:lang w:eastAsia="es-UY"/>
        </w:rPr>
        <w:t>» (14:10). Y este permanecer está ligado estrechamente a creer: «</w:t>
      </w:r>
      <w:r w:rsidRPr="00A55DE5">
        <w:rPr>
          <w:rFonts w:ascii="Arial" w:eastAsia="Times New Roman" w:hAnsi="Arial" w:cs="Arial"/>
          <w:i/>
          <w:iCs/>
          <w:color w:val="222222"/>
          <w:sz w:val="24"/>
          <w:szCs w:val="24"/>
          <w:lang w:eastAsia="es-UY"/>
        </w:rPr>
        <w:t>El que cree en el Hijo tiene vida eterna; el que rehúsa creer en el Hijo, no verá la vida, sino que la cólera de Dios permanece sobre él</w:t>
      </w:r>
      <w:r w:rsidRPr="00A55DE5">
        <w:rPr>
          <w:rFonts w:ascii="Arial" w:eastAsia="Times New Roman" w:hAnsi="Arial" w:cs="Arial"/>
          <w:color w:val="222222"/>
          <w:sz w:val="24"/>
          <w:szCs w:val="24"/>
          <w:lang w:eastAsia="es-UY"/>
        </w:rPr>
        <w:t>» (3:36) como se ve en la conclusión del relato: para los que no creen (= ciegos) lo que “</w:t>
      </w:r>
      <w:r w:rsidRPr="00A55DE5">
        <w:rPr>
          <w:rFonts w:ascii="Arial" w:eastAsia="Times New Roman" w:hAnsi="Arial" w:cs="Arial"/>
          <w:i/>
          <w:iCs/>
          <w:color w:val="222222"/>
          <w:sz w:val="24"/>
          <w:szCs w:val="24"/>
          <w:lang w:eastAsia="es-UY"/>
        </w:rPr>
        <w:t>permanece</w:t>
      </w:r>
      <w:r w:rsidRPr="00A55DE5">
        <w:rPr>
          <w:rFonts w:ascii="Arial" w:eastAsia="Times New Roman" w:hAnsi="Arial" w:cs="Arial"/>
          <w:color w:val="222222"/>
          <w:sz w:val="24"/>
          <w:szCs w:val="24"/>
          <w:lang w:eastAsia="es-UY"/>
        </w:rPr>
        <w:t>” es el </w:t>
      </w:r>
      <w:r w:rsidRPr="00A55DE5">
        <w:rPr>
          <w:rFonts w:ascii="Arial" w:eastAsia="Times New Roman" w:hAnsi="Arial" w:cs="Arial"/>
          <w:i/>
          <w:iCs/>
          <w:color w:val="222222"/>
          <w:sz w:val="24"/>
          <w:szCs w:val="24"/>
          <w:lang w:eastAsia="es-UY"/>
        </w:rPr>
        <w:t>pecado</w:t>
      </w:r>
      <w:r w:rsidRPr="00A55DE5">
        <w:rPr>
          <w:rFonts w:ascii="Arial" w:eastAsia="Times New Roman" w:hAnsi="Arial" w:cs="Arial"/>
          <w:color w:val="222222"/>
          <w:sz w:val="24"/>
          <w:szCs w:val="24"/>
          <w:lang w:eastAsia="es-UY"/>
        </w:rPr>
        <w:t>.</w:t>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24"/>
          <w:szCs w:val="24"/>
          <w:lang w:eastAsia="es-UY"/>
        </w:rPr>
        <w:br/>
      </w:r>
      <w:r w:rsidRPr="00A55DE5">
        <w:rPr>
          <w:rFonts w:ascii="Arial" w:eastAsia="Times New Roman" w:hAnsi="Arial" w:cs="Arial"/>
          <w:color w:val="222222"/>
          <w:sz w:val="24"/>
          <w:szCs w:val="24"/>
          <w:lang w:eastAsia="es-UY"/>
        </w:rPr>
        <w:br/>
        <w:t>Foto tomada de </w:t>
      </w:r>
      <w:hyperlink r:id="rId7" w:tgtFrame="_blank" w:history="1">
        <w:r w:rsidRPr="00A55DE5">
          <w:rPr>
            <w:rFonts w:ascii="Arial" w:eastAsia="Times New Roman" w:hAnsi="Arial" w:cs="Arial"/>
            <w:color w:val="0000FF"/>
            <w:sz w:val="24"/>
            <w:szCs w:val="24"/>
            <w:u w:val="single"/>
            <w:lang w:eastAsia="es-UY"/>
          </w:rPr>
          <w:t>www.la-oracion.com</w:t>
        </w:r>
      </w:hyperlink>
    </w:p>
    <w:p w:rsidR="00A55DE5" w:rsidRPr="00A55DE5" w:rsidRDefault="00A55DE5" w:rsidP="00A55DE5">
      <w:pPr>
        <w:shd w:val="clear" w:color="auto" w:fill="FFFFFF"/>
        <w:jc w:val="left"/>
        <w:rPr>
          <w:rFonts w:ascii="Arial" w:eastAsia="Times New Roman" w:hAnsi="Arial" w:cs="Arial"/>
          <w:color w:val="222222"/>
          <w:sz w:val="11"/>
          <w:szCs w:val="11"/>
          <w:lang w:eastAsia="es-UY"/>
        </w:rPr>
      </w:pPr>
      <w:r w:rsidRPr="00A55DE5">
        <w:rPr>
          <w:rFonts w:ascii="Arial" w:eastAsia="Times New Roman" w:hAnsi="Arial" w:cs="Arial"/>
          <w:color w:val="222222"/>
          <w:sz w:val="11"/>
          <w:szCs w:val="11"/>
          <w:lang w:eastAsia="es-UY"/>
        </w:rPr>
        <w:t> </w:t>
      </w:r>
      <w:r w:rsidRPr="00A55DE5">
        <w:rPr>
          <w:rFonts w:ascii="Arial" w:eastAsia="Times New Roman" w:hAnsi="Arial" w:cs="Arial"/>
          <w:color w:val="222222"/>
          <w:sz w:val="11"/>
          <w:lang w:eastAsia="es-UY"/>
        </w:rPr>
        <w:t> </w:t>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11"/>
          <w:szCs w:val="11"/>
          <w:lang w:eastAsia="es-UY"/>
        </w:rPr>
        <w:br/>
      </w:r>
      <w:r w:rsidRPr="00A55DE5">
        <w:rPr>
          <w:rFonts w:ascii="Arial" w:eastAsia="Times New Roman" w:hAnsi="Arial" w:cs="Arial"/>
          <w:color w:val="222222"/>
          <w:sz w:val="11"/>
          <w:szCs w:val="11"/>
          <w:lang w:eastAsia="es-UY"/>
        </w:rPr>
        <w:br/>
        <w:t>--</w:t>
      </w:r>
      <w:r w:rsidRPr="00A55DE5">
        <w:rPr>
          <w:rFonts w:ascii="Arial" w:eastAsia="Times New Roman" w:hAnsi="Arial" w:cs="Arial"/>
          <w:color w:val="222222"/>
          <w:sz w:val="11"/>
          <w:szCs w:val="11"/>
          <w:lang w:eastAsia="es-UY"/>
        </w:rPr>
        <w:br/>
        <w:t>Publicado por Blog de Eduardo para</w:t>
      </w:r>
      <w:r w:rsidRPr="00A55DE5">
        <w:rPr>
          <w:rFonts w:ascii="Arial" w:eastAsia="Times New Roman" w:hAnsi="Arial" w:cs="Arial"/>
          <w:color w:val="222222"/>
          <w:sz w:val="11"/>
          <w:lang w:eastAsia="es-UY"/>
        </w:rPr>
        <w:t> </w:t>
      </w:r>
      <w:hyperlink r:id="rId8" w:tgtFrame="_blank" w:history="1">
        <w:r w:rsidRPr="00A55DE5">
          <w:rPr>
            <w:rFonts w:ascii="Arial" w:eastAsia="Times New Roman" w:hAnsi="Arial" w:cs="Arial"/>
            <w:color w:val="1155CC"/>
            <w:sz w:val="11"/>
            <w:u w:val="single"/>
            <w:lang w:eastAsia="es-UY"/>
          </w:rPr>
          <w:t>Blog de Eduardo de la Serna</w:t>
        </w:r>
      </w:hyperlink>
      <w:r w:rsidRPr="00A55DE5">
        <w:rPr>
          <w:rFonts w:ascii="Arial" w:eastAsia="Times New Roman" w:hAnsi="Arial" w:cs="Arial"/>
          <w:color w:val="222222"/>
          <w:sz w:val="11"/>
          <w:lang w:eastAsia="es-UY"/>
        </w:rPr>
        <w:t> </w:t>
      </w:r>
      <w:r w:rsidRPr="00A55DE5">
        <w:rPr>
          <w:rFonts w:ascii="Arial" w:eastAsia="Times New Roman" w:hAnsi="Arial" w:cs="Arial"/>
          <w:color w:val="222222"/>
          <w:sz w:val="11"/>
          <w:szCs w:val="11"/>
          <w:lang w:eastAsia="es-UY"/>
        </w:rPr>
        <w:t>el 3/21/2017 06:00:00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76907"/>
    <w:multiLevelType w:val="multilevel"/>
    <w:tmpl w:val="E75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225533"/>
    <w:multiLevelType w:val="multilevel"/>
    <w:tmpl w:val="08E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grammar="clean"/>
  <w:defaultTabStop w:val="708"/>
  <w:hyphenationZone w:val="425"/>
  <w:characterSpacingControl w:val="doNotCompress"/>
  <w:compat/>
  <w:rsids>
    <w:rsidRoot w:val="00A55DE5"/>
    <w:rsid w:val="00221703"/>
    <w:rsid w:val="004E1985"/>
    <w:rsid w:val="00A55DE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55DE5"/>
    <w:rPr>
      <w:color w:val="0000FF"/>
      <w:u w:val="single"/>
    </w:rPr>
  </w:style>
  <w:style w:type="character" w:customStyle="1" w:styleId="apple-converted-space">
    <w:name w:val="apple-converted-space"/>
    <w:basedOn w:val="Fuentedeprrafopredeter"/>
    <w:rsid w:val="00A55DE5"/>
  </w:style>
  <w:style w:type="character" w:customStyle="1" w:styleId="m-8109740315396275364ircho">
    <w:name w:val="m_-8109740315396275364ircho"/>
    <w:basedOn w:val="Fuentedeprrafopredeter"/>
    <w:rsid w:val="00A55DE5"/>
  </w:style>
  <w:style w:type="paragraph" w:styleId="Textodeglobo">
    <w:name w:val="Balloon Text"/>
    <w:basedOn w:val="Normal"/>
    <w:link w:val="TextodegloboCar"/>
    <w:uiPriority w:val="99"/>
    <w:semiHidden/>
    <w:unhideWhenUsed/>
    <w:rsid w:val="00A55DE5"/>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793614">
      <w:bodyDiv w:val="1"/>
      <w:marLeft w:val="0"/>
      <w:marRight w:val="0"/>
      <w:marTop w:val="0"/>
      <w:marBottom w:val="0"/>
      <w:divBdr>
        <w:top w:val="none" w:sz="0" w:space="0" w:color="auto"/>
        <w:left w:val="none" w:sz="0" w:space="0" w:color="auto"/>
        <w:bottom w:val="none" w:sz="0" w:space="0" w:color="auto"/>
        <w:right w:val="none" w:sz="0" w:space="0" w:color="auto"/>
      </w:divBdr>
      <w:divsChild>
        <w:div w:id="251357100">
          <w:marLeft w:val="0"/>
          <w:marRight w:val="0"/>
          <w:marTop w:val="0"/>
          <w:marBottom w:val="0"/>
          <w:divBdr>
            <w:top w:val="none" w:sz="0" w:space="0" w:color="auto"/>
            <w:left w:val="none" w:sz="0" w:space="0" w:color="auto"/>
            <w:bottom w:val="none" w:sz="0" w:space="0" w:color="auto"/>
            <w:right w:val="none" w:sz="0" w:space="0" w:color="auto"/>
          </w:divBdr>
          <w:divsChild>
            <w:div w:id="1612467439">
              <w:marLeft w:val="379"/>
              <w:marRight w:val="0"/>
              <w:marTop w:val="0"/>
              <w:marBottom w:val="0"/>
              <w:divBdr>
                <w:top w:val="none" w:sz="0" w:space="0" w:color="auto"/>
                <w:left w:val="none" w:sz="0" w:space="0" w:color="auto"/>
                <w:bottom w:val="none" w:sz="0" w:space="0" w:color="auto"/>
                <w:right w:val="none" w:sz="0" w:space="0" w:color="auto"/>
              </w:divBdr>
              <w:divsChild>
                <w:div w:id="281573410">
                  <w:marLeft w:val="0"/>
                  <w:marRight w:val="129"/>
                  <w:marTop w:val="43"/>
                  <w:marBottom w:val="0"/>
                  <w:divBdr>
                    <w:top w:val="none" w:sz="0" w:space="0" w:color="auto"/>
                    <w:left w:val="none" w:sz="0" w:space="0" w:color="auto"/>
                    <w:bottom w:val="none" w:sz="0" w:space="0" w:color="auto"/>
                    <w:right w:val="none" w:sz="0" w:space="0" w:color="auto"/>
                  </w:divBdr>
                  <w:divsChild>
                    <w:div w:id="17042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3/comentario-cuaresma-4a.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Woa10KlSL9Bo1M&amp;tbnid=mX1PGH5mDq6nrM:&amp;ved=0CAUQjB0&amp;url=http%3A%2F%2Fwww.la-oracion.com%2Fcomponent%2Fcontent%2Farticle%2F49-blog%2Ficomo-entiendo-sus-palabras%2F265-la-palabra-de-dios-lampara-para-nuestros-pasos-y-luz-en-nuestro-camino.html&amp;ei=2pMrU5n6DuaH0AGw4YG4CQ&amp;bvm=bv.62922401,d.dmQ&amp;psig=AFQjCNEBNGjW6UpCg7OAxHatX3KLaKATjg&amp;ust=13954512116009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2.bp.blogspot.com/-yt3NMz4xcoI/UzFqtR8i-II/AAAAAAAADSY/-PjmlJJMUKk/s1600/Cuaresma+4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2370</Words>
  <Characters>13037</Characters>
  <Application>Microsoft Office Word</Application>
  <DocSecurity>0</DocSecurity>
  <Lines>108</Lines>
  <Paragraphs>30</Paragraphs>
  <ScaleCrop>false</ScaleCrop>
  <Company/>
  <LinksUpToDate>false</LinksUpToDate>
  <CharactersWithSpaces>15377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2017-03-22T11:40:00Z</dcterms:created>
  <dcterms:modified xsi:type="dcterms:W3CDTF">2017-03-22T11:41:00Z</dcterms:modified>
</cp:coreProperties>
</file>