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bookmarkStart w:id="0" w:name="_GoBack"/>
      <w:r w:rsidRPr="00A84F2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br/>
        <w:t>El G-20. Multilateralismo, poder, insubordinación y realismo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proofErr w:type="spellStart"/>
      <w:r w:rsidRPr="00A84F2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Fredes</w:t>
      </w:r>
      <w:proofErr w:type="spellEnd"/>
      <w:r w:rsidRPr="00A84F2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 xml:space="preserve"> Luis Castro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ALAI AMLATINA, 13/07/2017.- </w:t>
      </w: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En ejercicio de la presidencia del G-20, Alemania ofició su rol de anfitriona del encuentro celebrado en Hamburgo que tuvo como consigna “Conformar un mundo interconectado”. El logo elegido resume los deseos y valores de personalidades como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Angela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Merkel, Justin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Trudeau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y Emmanuel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Macron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pero está alejado de los pronunciamientos de Donald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Trump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Vladímir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Vladímirovich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Putin, y de la decisión adoptada por el Reino Unido presidido por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Theresa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May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para apartarse del comando de Bruselas. Esta divergencia no se circunscribe a los jefes de Estado, de acuerdo a una </w:t>
      </w:r>
      <w:hyperlink r:id="rId4" w:tgtFrame="_blank" w:history="1">
        <w:r w:rsidRPr="00A84F2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>encuesta</w:t>
        </w:r>
      </w:hyperlink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 realizada por Chatham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House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a 1823 integrantes de la élite europea, individuos influyentes en áreas clave como la política, mediática o empresarial, oriundos de distintos países miembros de la Unión Europea (UE), el 37% está a favor de transferir mayores facultades a la UE mientras que el 31% aboga por una restauración de poderes a los estados nacionales.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Es posible que entre los restauradores existan referentes que coinciden con las conclusiones del </w:t>
      </w:r>
      <w:hyperlink r:id="rId5" w:tgtFrame="_blank" w:history="1">
        <w:r w:rsidRPr="00A84F2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>informe</w:t>
        </w:r>
      </w:hyperlink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 brindado por el Global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Trade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Alert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que acusa la ineptitud del G-20 para repeler medidas proteccionistas. Sus escribientes conminan a escandalizarse menos por las restricciones a importaciones que por la “generosidad estatal” de buena parte de las economías del G-20, generadora de subsidios e incentivos fiscales que benefician a sus agricultores, exportadores y fabricantes. Tampoco se puede descartar que el 31% mencionado estime, en su intimidad, que los estados nacionales son agentes más eficaces a la hora de formular políticas proteccionistas de los intereses que los cohesionan.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Con temperamento entre sombrío y conspirativo, Donald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Trump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opera para combinar la necesidad de reforzar las articulaciones gendarmes del Estado nación con el repliegue de sus posibilidades reguladoras en el orden económico financiero, y extractivas en el orden impositivo cuando toca al capital más concentrado. De ningún modo fue casual la elección del </w:t>
      </w:r>
      <w:hyperlink r:id="rId6" w:tgtFrame="_blank" w:history="1">
        <w:r w:rsidRPr="00A84F2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 xml:space="preserve">territorio </w:t>
        </w:r>
        <w:proofErr w:type="spellStart"/>
        <w:r w:rsidRPr="00A84F2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>polaco</w:t>
        </w:r>
      </w:hyperlink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para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ofrecer su discurso reivindicativo de los valores comprendidos en la tríada de Dios, familia y libertad, antes de involucrarse en la cumbre del G-20. Es la patria del eficaz anticomunista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Karol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Wojtyla/Juan Pablo II y de Juan III Sobieski, el rey que en 1683 derrotó a las fuerzas otomanas en las puertas de Viena. Varsovia padeció el estatismo totalitario de los soviéticos y se ubica a la vanguardia de las administraciones furiosamente excluyentes de las humanidades extranjeras, mucho más las musulmanas, que buscan asilo y refugio en Europa. Es, además, uno de los pocos miembros de la OTAN que gasta más del 2% de su PBI en Defensa.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Para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Trump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la supervivencia de Occidente se encuentra amenazada por un conflicto de civilizaciones que no se libra en campos de batalla en primer término, sino en la mente, la voluntad y las almas de la ciudadanía habitante de la geografía occidental.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Tristen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Naylor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especialista en relaciones internacionales de la Universidad de Oxford, </w:t>
      </w:r>
      <w:hyperlink r:id="rId7" w:tgtFrame="_blank" w:history="1">
        <w:r w:rsidRPr="00A84F2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>disiente</w:t>
        </w:r>
      </w:hyperlink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 con el ex animador de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reality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shows, y estima que la cumbre de Hamburgo será recordada como el simbólico final del </w:t>
      </w: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lastRenderedPageBreak/>
        <w:t xml:space="preserve">liderazgo global estadounidense. Para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Naylor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la erosión del respaldo internacional a ese liderazgo comenzó a agrietarse en los campos de batallas de Afganistán e Irak, y se consolidó en los de Libia, Siria y Ucrania. “La decisión de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Trump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sacar a los Estados Unidos de la Asociación Transpacífica y el acuerdo climático de París fueron los siguientes pasos en esta lenta fuga del liderazgo global.”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Josef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Janning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destacado politólogo alemán del Consejo Europeo de Relaciones Exteriores, considera que el enfrentamiento relevante es el que se suscita </w:t>
      </w:r>
      <w:hyperlink r:id="rId8" w:tgtFrame="_blank" w:history="1">
        <w:r w:rsidRPr="00A84F2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>entre dos perspectivas</w:t>
        </w:r>
      </w:hyperlink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la del multilateralismo contra la de la multipolaridad. Los defensores europeos del multilateralismo, como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Angela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Merkel, propician una gobernanza planetaria que a través de foros como el G-20, provea de bienes públicos globales que la legitimen. Esta gobernanza opera mediante actores estatales y no estatales. Por el contrario, sujetos como Donald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Trump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sólo creen en el poder como fuente de legitimación.  Para la dirigencia del poder, foros como el G-20 sirven para gestionar y concertar las ambiciones de las entidades nacionales que representan.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Janning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que tiene entre sus antecedentes el de ser profesor invitado en la Universidad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Renmin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Beijing, sostiene que Xi Jinping opera también para afirmar los intereses del Estado civilización que gobierna, y se acerca a Europa para aprovechar la confusión que problematiza a sus países, generada en buena medida por el residente de la Casa Blanca. Para el analista germano, su patria y Bruselas se distraen con un escenario secundario al verdadero “gran juego”, que siempre es la lucha tradicional por el poder y la prevalencia, eso sí, en un mundo “ahora profundamente interconectado”.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Es imposible predecir qué escenario político económico se impondrá, sin embargo registremos que la Unión Europea de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Angela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Merkel mueve sus fichas y avanza con acuerdos comerciales con </w:t>
      </w:r>
      <w:hyperlink r:id="rId9" w:tgtFrame="_blank" w:history="1">
        <w:r w:rsidRPr="00A84F2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>Canadá</w:t>
        </w:r>
      </w:hyperlink>
      <w:hyperlink r:id="rId10" w:tgtFrame="_blank" w:history="1">
        <w:r w:rsidRPr="00A84F2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> </w:t>
        </w:r>
      </w:hyperlink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y </w:t>
      </w:r>
      <w:hyperlink r:id="rId11" w:tgtFrame="_blank" w:history="1">
        <w:r w:rsidRPr="00A84F2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>Japón</w:t>
        </w:r>
      </w:hyperlink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cuyas dificultades, en especial en el segundo caso, pueden ceder atento a la necesidad de replicar y prevenir las acciones de Washington y Beijing. Berlín, París y Tokio, entre otros, ofertan un software de pactos comerciales y bienes públicos globales, para contrarrestar y compensar el hardware </w:t>
      </w:r>
      <w:hyperlink r:id="rId12" w:tgtFrame="_blank" w:history="1">
        <w:r w:rsidRPr="00A84F2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>infraestructural</w:t>
        </w:r>
      </w:hyperlink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 propuesto por China para conectar diversas geografías y el tecnológico militar estadounidense (amén de que la centralidad cultural de la patria de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Muddy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Waters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y Steven Spielberg es un valor agregado que no tiene parangón).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Los gobiernos del Mercosur, en el mejor de los casos, discuten en los términos preferidos por las economías dominantes, sin atreverse a formular agenda original o </w:t>
      </w:r>
      <w:hyperlink r:id="rId13" w:tgtFrame="_blank" w:history="1">
        <w:r w:rsidRPr="00A84F2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>insubordinación fundante</w:t>
        </w:r>
      </w:hyperlink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 alguna. Los términos que las potencias centrales y re-emergentes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propagandizan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 imponen en el terreno económico, buscan facilitar transacciones y flujos que de ninguna manera aspiran a beneficiar a la ciudadanía de nuestra región. Es bueno recordar que incluso entre los cultores del realismo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periférico</w:t>
      </w:r>
      <w:hyperlink r:id="rId14" w:tgtFrame="_blank" w:history="1">
        <w:r w:rsidRPr="00A84F2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>se</w:t>
        </w:r>
        <w:proofErr w:type="spellEnd"/>
        <w:r w:rsidRPr="00A84F2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 xml:space="preserve"> advirtió</w:t>
        </w:r>
      </w:hyperlink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 que las políticas externas que adhieren a él, están condenadas al fracaso cuando lubrican una mala política económica, como la materializada en los 90 del siglo pasado, a favor de firmas extranjeras y burguesías </w:t>
      </w:r>
      <w:proofErr w:type="spellStart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prebendarias</w:t>
      </w:r>
      <w:proofErr w:type="spellEnd"/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nativas, con su secuela de desempleo, empobrecimiento y vaciamiento nacional.</w:t>
      </w:r>
    </w:p>
    <w:p w:rsidR="00A84F25" w:rsidRPr="00A84F25" w:rsidRDefault="00A84F25" w:rsidP="00A84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</w:pPr>
      <w:r w:rsidRPr="00A84F25">
        <w:rPr>
          <w:rFonts w:ascii="Arial" w:eastAsia="Times New Roman" w:hAnsi="Arial" w:cs="Arial"/>
          <w:i/>
          <w:iCs/>
          <w:color w:val="222222"/>
          <w:sz w:val="24"/>
          <w:szCs w:val="24"/>
          <w:lang w:val="en-US" w:eastAsia="es-UY"/>
        </w:rPr>
        <w:t>July 10, 2017</w:t>
      </w:r>
    </w:p>
    <w:bookmarkEnd w:id="0"/>
    <w:p w:rsidR="00A84F25" w:rsidRPr="00A84F25" w:rsidRDefault="00A84F25" w:rsidP="00A84F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 </w:t>
      </w:r>
    </w:p>
    <w:p w:rsidR="00A84F25" w:rsidRPr="00A84F25" w:rsidRDefault="00A84F25" w:rsidP="00A84F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s-UY"/>
        </w:rPr>
      </w:pPr>
      <w:hyperlink r:id="rId15" w:tgtFrame="_blank" w:history="1">
        <w:r w:rsidRPr="00A84F25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es-UY"/>
          </w:rPr>
          <w:t>http://fredescastro7.wixsite.com/shushwap/single-post/2017/07/10/El-G-20-Multilateralismo-poder-insubordinaci%C3%B3n-y-realismo</w:t>
        </w:r>
      </w:hyperlink>
    </w:p>
    <w:p w:rsidR="00A84F25" w:rsidRPr="00A84F25" w:rsidRDefault="00A84F25" w:rsidP="00A84F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 </w:t>
      </w:r>
    </w:p>
    <w:p w:rsidR="00A84F25" w:rsidRPr="00A84F25" w:rsidRDefault="00A84F25" w:rsidP="00A84F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 </w:t>
      </w:r>
    </w:p>
    <w:p w:rsidR="00A84F25" w:rsidRPr="00A84F25" w:rsidRDefault="00A84F25" w:rsidP="00A84F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A84F2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URL de este artículo: </w:t>
      </w:r>
      <w:hyperlink r:id="rId16" w:tgtFrame="_blank" w:history="1">
        <w:r w:rsidRPr="00A84F25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ES" w:eastAsia="es-UY"/>
          </w:rPr>
          <w:t>http://www.alainet.org/es/articulo/186788</w:t>
        </w:r>
      </w:hyperlink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25"/>
    <w:rsid w:val="002E2F5B"/>
    <w:rsid w:val="00A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D989F-6301-4ABF-AEE3-95F81E21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eu/article/commentary_the_hamburg_g20_a_clash_of_competing_visions_of_world_7209?mc_cid=ce3cb55747&amp;mc_eid=a2e1a292d1" TargetMode="External"/><Relationship Id="rId13" Type="http://schemas.openxmlformats.org/officeDocument/2006/relationships/hyperlink" Target="http://www.alainet.org/es/articulo/18493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heconversation.com/g20-summit-who-will-take-the-uss-place-as-a-global-leader-80335" TargetMode="External"/><Relationship Id="rId12" Type="http://schemas.openxmlformats.org/officeDocument/2006/relationships/hyperlink" Target="http://fredescastro7.wixsite.com/shushwap/la-conquista-del-oestehtt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lainet.org/es/articulo/186788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acional.elpais.com/internacional/2017/07/05/actualidad/1499276783_045377.html" TargetMode="External"/><Relationship Id="rId11" Type="http://schemas.openxmlformats.org/officeDocument/2006/relationships/hyperlink" Target="http://www.dw.com/es/la-ue-y-jap%C3%B3n-acuerdan-bases-para-tratado-de-libre-comercio/a-39584780" TargetMode="External"/><Relationship Id="rId5" Type="http://schemas.openxmlformats.org/officeDocument/2006/relationships/hyperlink" Target="http://www.globaltradealert.org/reports/42" TargetMode="External"/><Relationship Id="rId15" Type="http://schemas.openxmlformats.org/officeDocument/2006/relationships/hyperlink" Target="http://fredescastro7.wixsite.com/shushwap/single-post/2017/07/10/El-G-20-Multilateralismo-poder-insubordinaci%C3%B3n-y-realismo" TargetMode="External"/><Relationship Id="rId10" Type="http://schemas.openxmlformats.org/officeDocument/2006/relationships/hyperlink" Target="http://www.consilium.europa.eu/es/meetings/international-summit/2016/10/30/" TargetMode="External"/><Relationship Id="rId4" Type="http://schemas.openxmlformats.org/officeDocument/2006/relationships/hyperlink" Target="https://www.chathamhouse.org/sites/files/chathamhouse/publications/research/2017-06-20-future-europe-attitudes-raines-goodwin-cutts-final.pdf" TargetMode="External"/><Relationship Id="rId9" Type="http://schemas.openxmlformats.org/officeDocument/2006/relationships/hyperlink" Target="http://www.consilium.europa.eu/es/meetings/international-summit/2016/10/30/" TargetMode="External"/><Relationship Id="rId14" Type="http://schemas.openxmlformats.org/officeDocument/2006/relationships/hyperlink" Target="http://www.argentina-rree.com/documentos/Principios-del-realismo-periferic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2017-07-14T09:35:00Z</dcterms:created>
  <dcterms:modified xsi:type="dcterms:W3CDTF">2017-07-14T09:36:00Z</dcterms:modified>
</cp:coreProperties>
</file>