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FA" w:rsidRPr="00386BFA" w:rsidRDefault="00386BFA" w:rsidP="00386B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</w:pPr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''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Jesus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não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fundou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a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Igreja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para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pessoas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respeitáveis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.'' Entrevista </w:t>
      </w:r>
      <w:proofErr w:type="spellStart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>com</w:t>
      </w:r>
      <w:proofErr w:type="spellEnd"/>
      <w:r w:rsidRPr="00386BFA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es-UY"/>
        </w:rPr>
        <w:t xml:space="preserve"> Timothy Radcliffe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6"/>
          <w:szCs w:val="36"/>
          <w:lang w:eastAsia="es-UY"/>
        </w:rPr>
      </w:pP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Teólogo, biblista, dominicano,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mestre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geral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ordem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1992 a 2001, o padre </w:t>
      </w:r>
      <w:hyperlink r:id="rId4" w:history="1">
        <w:r w:rsidRPr="00386BFA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Timothy Radcliffe</w:t>
        </w:r>
      </w:hyperlink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vive em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Oxford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onde é </w:t>
      </w:r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Doctor in </w:t>
      </w:r>
      <w:proofErr w:type="spellStart"/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Divinity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alto título para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estudioso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religião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reportagem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de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Alessia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Rastelli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publicada 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caderno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La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Lettura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jornal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Corriere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dela Sera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21-01-2018.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tradução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de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Moisés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Sbardelotto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Papa Francisco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nomeou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consultor 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dicastério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pontifício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a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Justiça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 a Paz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E,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Bergoglio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Radcliffe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voz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autoridade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corajosa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fé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realidade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Como 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livro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será publicado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Editrice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Missionaria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Italiana</w:t>
      </w:r>
      <w:proofErr w:type="gram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Alla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radice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la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libertà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. Come interpretare i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segni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dei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tempi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[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raiz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liberdade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Como interpretar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sinais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tempos].</w:t>
      </w:r>
    </w:p>
    <w:p w:rsidR="00386BFA" w:rsidRPr="00386BFA" w:rsidRDefault="00386BFA" w:rsidP="00386BF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</w:pPr>
      <w:proofErr w:type="spellStart"/>
      <w:r w:rsidRPr="00386BF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Eis</w:t>
      </w:r>
      <w:proofErr w:type="spellEnd"/>
      <w:r w:rsidRPr="00386BF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 a entrevista.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Radcliffe, 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admite que “a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percebida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muitas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vezes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como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inimiga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liberdade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”. É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possível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ser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livre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cristão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pensam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Deus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policial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submissão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total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distorção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tradição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judaico-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cristã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centrada no convite de Deus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viver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Ele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todos. Todo amigo digno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nome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porém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é exigente e capaz de nos transformar. Os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Dez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Mandamentos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oferecidos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Moisés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como “amigo de Deus”. E o convite à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culmina em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acolhe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rejeitados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aceitarmos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seremos transformados.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porque nos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submetemos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demandas extremas,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porque somos libertos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amor infinito.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dominicano Yves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Congar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disse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amava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como se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fosse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pessoa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. Mas,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hoje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adverte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“a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própria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ideia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tornou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-se vaga”.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A busca pela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implica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envolvimento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aqueles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têm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ideias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diferentes, para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chegar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ampla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Desde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Sócrates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os modernos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meios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comunicação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vezes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fecham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dentro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comunidade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daqueles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pensam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nós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Jonathan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Franzen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observa: “As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vozes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conformam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ficam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silêncio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E, onde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você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você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odiar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aquilo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odeia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”.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tendência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rotular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lixo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absurdo.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fracasso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inteligência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imaginação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Como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reage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vezes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infelizmente,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mostrou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medo de realmente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escutar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aqueles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têm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visões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diferentes. Mas, 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coração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cristandade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está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prazer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diferença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refratada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quatro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Evangelhos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A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Bíblia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abraça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diferença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Antigo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Novo Testamento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todas: entre Deus e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humanidade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só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será aceita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mestra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estivermos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dispostos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aprender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sabedoria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compartilhar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lastRenderedPageBreak/>
        <w:t xml:space="preserve">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denuncia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“retirada global 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complexidade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” em favor de slogans 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tuítes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, como </w:t>
      </w:r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“Brexit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means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Brexit”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e </w:t>
      </w:r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“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Make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America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great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again</w:t>
      </w:r>
      <w:proofErr w:type="spellEnd"/>
      <w:r w:rsidRPr="00386BFA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UY"/>
        </w:rPr>
        <w:t>”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.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votou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no referendo do Brexit?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Sim, pelo </w:t>
      </w:r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“</w:t>
      </w:r>
      <w:proofErr w:type="spellStart"/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remain</w:t>
      </w:r>
      <w:proofErr w:type="spellEnd"/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”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[pela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permanência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Europeia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]. Amo a profunda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variedade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civilizações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europeias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O debate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superficial. Os tabloides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bombardearam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manchetes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simplistas.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votaram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 </w:t>
      </w:r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“</w:t>
      </w:r>
      <w:proofErr w:type="spellStart"/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leave</w:t>
      </w:r>
      <w:proofErr w:type="spellEnd"/>
      <w:r w:rsidRPr="00386BFA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”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[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saída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Europeia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] por causa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desconfiança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britânica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burocracia distante.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profundamente, as grandes desigualdades das modernas sociedades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sintam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casa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própria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sociedade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futuro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pensam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importam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nada.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pena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invisível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reforça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rejeição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União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Europeia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Mas o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Brexit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resolverá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existencial vivida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perda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complexidade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causas dos fundamentalismos?</w:t>
      </w:r>
      <w:proofErr w:type="gram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 papa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despertou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polêmicas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dizer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“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nenhum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povo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é criminoso,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nenhuma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religião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é terrorista.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Há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fundamentalistas em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todas as</w:t>
      </w:r>
      <w:proofErr w:type="gram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religiões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”.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concorda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Sim.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coração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resposta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fundamentalismo é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estudo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Acabei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voltar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Iraque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onde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irmãs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dominicanas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lideram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escolas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muçulmanos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yazidis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cristãos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O fundamentalismo, científico,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econômico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nacionalista,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tentação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modernidade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grandes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religiões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fundamentalista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natureza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vezes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infectada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limite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modernidade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Rejeição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diferenças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 retirada 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complexidade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também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explicam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hostilidade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em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relação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aos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migrantes?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Bíblia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estrangeiro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só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bem-vindo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bênção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! Os migrantes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renovação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velha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cansada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Europa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podemos esperar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aqueles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sentem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estrangeiros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país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acolham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estrangeiros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As boas-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vindas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migrantes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acompanhadas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profundo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compromisso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aqueles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sentem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marginalizados, caso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contrário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tensões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sociedades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explodir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No Sínodo sobre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família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em 2015 e 2016,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se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perguntou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sobre como pode ser a “casa de todos”,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hoje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alguns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divorciados em segunda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união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outros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coabitam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outros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têm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parceiros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mesmo sexo.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que 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É preciso se sentir em casa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independentemente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tipo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alguém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envolvido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comeu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bebeu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todos.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boa casa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desafiadora. Convida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você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tornar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virtuoso,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coerente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comprometido,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honesto.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acolher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sempre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fruto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complexas, partimos de onde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Em vez de ver os divorciados em segunda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fracassados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poderíamos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considerá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-los como corajosos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renunciam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desejo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compromisso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sempre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gays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possuem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dons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enriquecer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sociedade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Todos somos peregrinos em busca 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caminho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Deus.</w:t>
      </w:r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lastRenderedPageBreak/>
        <w:t xml:space="preserve">Será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possível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chegar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ordenar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mulheres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O lugar delas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questões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abordadas.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central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ordenação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sim dar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mulheres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tanto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autoridade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quanto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voz. As santas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Catarina de Siena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Teresa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d’Ávila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Teresa de Lisieux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grandes teólogas. </w:t>
      </w:r>
      <w:proofErr w:type="gram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Ora, como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autoridade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 ser inserida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estruturas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?</w:t>
      </w:r>
      <w:proofErr w:type="gram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Eu espero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haja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mulheres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diáconos, de modo que a voz delas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escutar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partir dos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púlpitos. </w:t>
      </w:r>
      <w:proofErr w:type="gram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 que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mulher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cardeal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cardeal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Tobin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sugeriu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diz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pluralidade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pode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ajudar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era 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globalização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.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estrutura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eclesiástica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ainda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está centralizada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demais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A partir 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século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XVI, a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Europa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caracterizou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crescente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cultura do controle. Vemos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evolução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Estado moderno,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supervisiona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todos os aspectos das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vidas.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contagiada por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contribuiu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cultura. O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Papa Francisco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está tentando descentralizar.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requer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abrir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controle.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Espírito Santo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sempre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abrir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controle, porque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sabemos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antecipadamente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aonde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seremos levados. </w:t>
      </w:r>
      <w:proofErr w:type="gram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Pode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assustar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empolgante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!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A autora Hilary Mantel, criada como católica,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disse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“a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é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mais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para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respeitáveis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”.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Vatileaks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abusos. </w:t>
      </w:r>
      <w:proofErr w:type="gram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Como recuperar a 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confiança</w:t>
      </w:r>
      <w:proofErr w:type="spellEnd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386BFA" w:rsidRPr="00386BFA" w:rsidRDefault="00386BFA" w:rsidP="00386BF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fundou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“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respeitáveis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”.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respeitáveis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tempo,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fariseus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ficaram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escandalizados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respeitáveis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acolheu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basta. Os abusos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sexuais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parte do clero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horríveis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mostrar claramente que os enfrenta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honestidade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arrependimento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determinação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ser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lugar extremamente seguro para as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vulneráveis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Devemos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ser francos sobre 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fracassos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Pedro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renegou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Jesus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E os </w:t>
      </w:r>
      <w:proofErr w:type="spellStart"/>
      <w:r w:rsidRPr="00386BFA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Evangelhos</w:t>
      </w:r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escondem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desafio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entender o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porquê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abusos. Precisamos dos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melhores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psicólogos, a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fim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evitar que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ocorra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novo</w:t>
      </w:r>
      <w:proofErr w:type="spellEnd"/>
      <w:r w:rsidRPr="00386BFA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2E2F5B" w:rsidRDefault="002E2F5B"/>
    <w:p w:rsidR="00386BFA" w:rsidRDefault="00386BFA" w:rsidP="00386BFA">
      <w:pPr>
        <w:jc w:val="center"/>
      </w:pPr>
      <w:r w:rsidRPr="00386BFA">
        <w:t>http://www.ihu.unisinos.br/575508-jesus-nao-fundou-a-igreja-para-pessoas-respeitaveis-entrevista-com-timothy-r</w:t>
      </w:r>
      <w:bookmarkStart w:id="0" w:name="_GoBack"/>
      <w:bookmarkEnd w:id="0"/>
      <w:r w:rsidRPr="00386BFA">
        <w:t>adcliffe</w:t>
      </w:r>
    </w:p>
    <w:sectPr w:rsidR="00386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A"/>
    <w:rsid w:val="002E2F5B"/>
    <w:rsid w:val="003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226D"/>
  <w15:chartTrackingRefBased/>
  <w15:docId w15:val="{C3C2DC92-E8E0-45A1-9705-8B0B276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u.unisinos.br/5745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2018-01-28T21:47:00Z</dcterms:created>
  <dcterms:modified xsi:type="dcterms:W3CDTF">2018-01-28T21:48:00Z</dcterms:modified>
</cp:coreProperties>
</file>