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41" w:rsidRDefault="008E4C41">
      <w:pPr>
        <w:pStyle w:val="Pa13"/>
        <w:jc w:val="center"/>
        <w:rPr>
          <w:rFonts w:ascii="Times New Roman" w:hAnsi="Times New Roman"/>
          <w:color w:val="000000"/>
          <w:sz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2"/>
        </w:rPr>
        <w:t>Puesteros, crianceros y campesinos trashumantes: reclamos y resistencias.</w:t>
      </w:r>
    </w:p>
    <w:p w:rsidR="008E4C41" w:rsidRDefault="008E4C41">
      <w:pPr>
        <w:pStyle w:val="Pa1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Oscar Soto*</w:t>
      </w:r>
    </w:p>
    <w:p w:rsidR="00265B53" w:rsidRDefault="00265B53">
      <w:pPr>
        <w:pStyle w:val="Pa13"/>
        <w:ind w:left="2260"/>
        <w:jc w:val="right"/>
        <w:rPr>
          <w:rFonts w:ascii="Times New Roman" w:hAnsi="Times New Roman"/>
        </w:rPr>
      </w:pPr>
    </w:p>
    <w:p w:rsidR="008E4C41" w:rsidRPr="002C2022" w:rsidRDefault="008E4C41">
      <w:pPr>
        <w:pStyle w:val="Pa13"/>
        <w:ind w:left="2260"/>
        <w:jc w:val="right"/>
        <w:rPr>
          <w:rFonts w:ascii="Times New Roman" w:hAnsi="Times New Roman"/>
          <w:sz w:val="22"/>
        </w:rPr>
      </w:pPr>
      <w:r w:rsidRPr="002C2022">
        <w:rPr>
          <w:rFonts w:ascii="Times New Roman" w:hAnsi="Times New Roman"/>
          <w:i/>
          <w:sz w:val="22"/>
        </w:rPr>
        <w:t xml:space="preserve">“Todo aquello que por suceder en las orillas, en los bordes, aparece como no esencial para la reproducción del sistema […] oculta la clave de un orden contrahecho que se revela precisamente en su disformidad” </w:t>
      </w:r>
    </w:p>
    <w:p w:rsidR="008E4C41" w:rsidRDefault="008E4C41">
      <w:pPr>
        <w:pStyle w:val="Pa13"/>
        <w:ind w:left="2260"/>
        <w:jc w:val="right"/>
        <w:rPr>
          <w:rFonts w:ascii="Times New Roman" w:hAnsi="Times New Roman"/>
          <w:sz w:val="22"/>
        </w:rPr>
      </w:pPr>
      <w:r w:rsidRPr="002C2022">
        <w:rPr>
          <w:rFonts w:ascii="Times New Roman" w:hAnsi="Times New Roman"/>
          <w:sz w:val="22"/>
        </w:rPr>
        <w:t>(Armando Bartra, “El hombre de hierro”, 2008)</w:t>
      </w: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723DAF">
      <w:pPr>
        <w:pStyle w:val="Pa13"/>
        <w:ind w:left="2260"/>
        <w:jc w:val="right"/>
        <w:rPr>
          <w:rFonts w:ascii="Times New Roman" w:hAnsi="Times New Roman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4pt;margin-top:3.25pt;width:299.6pt;height:199.9pt;z-index:1">
            <v:imagedata r:id="rId6" o:title=""/>
            <w10:wrap type="square"/>
          </v:shape>
        </w:pict>
      </w: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Default="00265B53">
      <w:pPr>
        <w:pStyle w:val="Pa13"/>
        <w:ind w:left="2260"/>
        <w:jc w:val="right"/>
        <w:rPr>
          <w:rFonts w:ascii="Times New Roman" w:hAnsi="Times New Roman"/>
          <w:sz w:val="22"/>
        </w:rPr>
      </w:pPr>
    </w:p>
    <w:p w:rsidR="00265B53" w:rsidRPr="002C2022" w:rsidRDefault="00265B53">
      <w:pPr>
        <w:pStyle w:val="Pa13"/>
        <w:ind w:left="2260"/>
        <w:jc w:val="right"/>
      </w:pPr>
    </w:p>
    <w:p w:rsidR="008E4C41" w:rsidRDefault="008E4C41"/>
    <w:p w:rsidR="00265B53" w:rsidRDefault="00265B53">
      <w:pPr>
        <w:jc w:val="both"/>
      </w:pPr>
    </w:p>
    <w:p w:rsidR="00265B53" w:rsidRDefault="00265B53">
      <w:pPr>
        <w:jc w:val="both"/>
      </w:pPr>
    </w:p>
    <w:p w:rsidR="00265B53" w:rsidRDefault="00265B53">
      <w:pPr>
        <w:jc w:val="both"/>
      </w:pPr>
    </w:p>
    <w:p w:rsidR="00265B53" w:rsidRDefault="00265B53">
      <w:pPr>
        <w:jc w:val="both"/>
      </w:pPr>
    </w:p>
    <w:p w:rsidR="00265B53" w:rsidRDefault="00265B53">
      <w:pPr>
        <w:jc w:val="both"/>
      </w:pPr>
    </w:p>
    <w:p w:rsidR="008E4C41" w:rsidRDefault="008E4C41">
      <w:pPr>
        <w:jc w:val="both"/>
      </w:pPr>
      <w:r>
        <w:t>La utiliza</w:t>
      </w:r>
      <w:r w:rsidR="002C2022">
        <w:t>ción del término campesino en</w:t>
      </w:r>
      <w:r>
        <w:t xml:space="preserve"> Argentina resulta, de manera particular, una costumbre aun reticente en ciertos sectores sociales, políticos y académicos. Progresistas, conservadores, ecologistas, industriales o intelectuales, cualquiera sea, suelen marcar distancias -a sus maneras- respecto de la idea del sujeto campesino. Los unos por desconocimiento, los otros por oposición deliberada; lo cierto es que el </w:t>
      </w:r>
      <w:r>
        <w:rPr>
          <w:i/>
          <w:iCs/>
        </w:rPr>
        <w:t>modo de vida campesino</w:t>
      </w:r>
      <w:r>
        <w:t xml:space="preserve"> sea por la exhaustividad clasificatoria o por la negación de un otro interno, -campesino o indígena- en un país </w:t>
      </w:r>
      <w:r w:rsidR="002C2022">
        <w:t>auto-percibido</w:t>
      </w:r>
      <w:r>
        <w:t xml:space="preserve"> hegemónicamente urbano</w:t>
      </w:r>
      <w:r>
        <w:rPr>
          <w:rStyle w:val="Refdenotaalpie"/>
        </w:rPr>
        <w:footnoteReference w:id="1"/>
      </w:r>
      <w:r>
        <w:t>, suele ser presa fácil de prejuicios y reduccionismos.</w:t>
      </w:r>
    </w:p>
    <w:p w:rsidR="008E4C41" w:rsidRDefault="008E4C41">
      <w:pPr>
        <w:jc w:val="both"/>
      </w:pPr>
    </w:p>
    <w:p w:rsidR="008E4C41" w:rsidRDefault="008E4C41">
      <w:pPr>
        <w:jc w:val="both"/>
      </w:pPr>
      <w:r>
        <w:t xml:space="preserve">La opinión pública generalizada de nuestro país no escapa a un tipo de colonización persistente que normativiza las formas de comprensión de los sectores agrarios o campesinos, aun cuando, huelga decirlo: las variadas formas de organización del mundo rural en Argentina tienen profundos puntos de confrontación y difieren en muchos sentidos en sus formas de habitar la tierra y desarrollar sus actividades productivas. Así, no es lo mismo un chacarero de la pampa húmeda, un colono del norte argentino o un puestero del sur de Mendoza, a los fines de las dinámicas que el capitalismo le ofrece al campo. </w:t>
      </w:r>
    </w:p>
    <w:p w:rsidR="008E4C41" w:rsidRDefault="008E4C41">
      <w:pPr>
        <w:jc w:val="both"/>
      </w:pPr>
    </w:p>
    <w:p w:rsidR="008E4C41" w:rsidRDefault="008E4C41">
      <w:pPr>
        <w:jc w:val="both"/>
      </w:pPr>
      <w:r>
        <w:t xml:space="preserve">Estos últimos, componen el ancho espacio de economías de subsistencias o sistemas de vida no integrados absolutamente al metabolismo del capital. Es que la vida de la trashumancia o el </w:t>
      </w:r>
      <w:r w:rsidR="002C2022">
        <w:t>hábito</w:t>
      </w:r>
      <w:r>
        <w:t xml:space="preserve"> de la cría de animales, las tareas de pastoreo o la actividad de un castronero, poco hilvanan en el tejido del aparato económico capitalista “moderno”. Las modalidades ancestrales en las que el modo de vida campesino se vincula con la Tierra y a su vez con su entorno natural, denotan su principal característica social y espiritual.</w:t>
      </w:r>
    </w:p>
    <w:p w:rsidR="008E4C41" w:rsidRDefault="008E4C41">
      <w:pPr>
        <w:jc w:val="both"/>
      </w:pPr>
    </w:p>
    <w:p w:rsidR="008E4C41" w:rsidRDefault="008E4C41">
      <w:pPr>
        <w:jc w:val="both"/>
      </w:pPr>
      <w:r>
        <w:t>Campesinos en nuestras tierras acaparadas por dueños a los que se no se les ve el rostro son, como sostiene Armando Bartra: el resultado del capitalismo y la resistencia a ese capitalismo</w:t>
      </w:r>
      <w:r>
        <w:rPr>
          <w:rStyle w:val="Refdenotaalpie"/>
        </w:rPr>
        <w:footnoteReference w:id="2"/>
      </w:r>
      <w:r>
        <w:t xml:space="preserve">. Saben </w:t>
      </w:r>
      <w:r>
        <w:lastRenderedPageBreak/>
        <w:t xml:space="preserve">nuestros puesteros, crianceros y campesinos de las caminatas bajo el sol mirando de reojos la Cordillera de los Andes, del </w:t>
      </w:r>
      <w:r w:rsidR="002C2022">
        <w:t>frío</w:t>
      </w:r>
      <w:r>
        <w:t xml:space="preserve"> implacable que se cuela por debajo de las cobijas, de desarmar la montura del caballo para hacer la noche donde toque, siempre vigía de chivos y cabras camino a su pastaje... Allí donde solo el silencio colosal tiene derecho a la palabra, puesteros como los malargüinos, del sur de Mendoza, Argentina, resisten el paso del tiempo y la violencia de este sistema cada vez </w:t>
      </w:r>
      <w:r w:rsidR="002C2022">
        <w:t>más</w:t>
      </w:r>
      <w:r>
        <w:t xml:space="preserve"> egoísta y deshumano.</w:t>
      </w:r>
    </w:p>
    <w:p w:rsidR="008E4C41" w:rsidRDefault="008E4C41">
      <w:pPr>
        <w:jc w:val="both"/>
      </w:pPr>
    </w:p>
    <w:p w:rsidR="008E4C41" w:rsidRDefault="008E4C41">
      <w:pPr>
        <w:jc w:val="both"/>
      </w:pPr>
      <w:r>
        <w:t xml:space="preserve">Sin embargo, la vida de pastoreo y la trashumancia históricamente marginal en Argentina, no solamente sufre el olvido silencioso de la prensa y los gobiernos, sino que </w:t>
      </w:r>
      <w:r w:rsidR="002C2022">
        <w:t>además</w:t>
      </w:r>
      <w:r>
        <w:t xml:space="preserve"> es reseñada como la causa de muchos de nuestros males, ecológicos, naturales y sociales. Resulta ser que los excluidos no solo deben asumir el papel de relegados, sino que </w:t>
      </w:r>
      <w:r w:rsidR="002C2022">
        <w:t>además</w:t>
      </w:r>
      <w:r>
        <w:t xml:space="preserve"> su persistencia pone en riesgo a un otro que no empatiza con la problemática rural y sus penurias. La gravedad ecológica de hechos como los sucedidos en Malargüe recientemente con la muerte por envenenamiento de 34 cóndores</w:t>
      </w:r>
      <w:r>
        <w:rPr>
          <w:rStyle w:val="Refdenotaalpie"/>
        </w:rPr>
        <w:footnoteReference w:id="3"/>
      </w:r>
      <w:r>
        <w:t>, es un hecho sin precedentes</w:t>
      </w:r>
      <w:r w:rsidR="00F813B7">
        <w:t xml:space="preserve"> por tratarse de una especie protegida</w:t>
      </w:r>
      <w:r w:rsidR="00D61711">
        <w:t xml:space="preserve"> importantísima para la región, no obstante, esto</w:t>
      </w:r>
      <w:r>
        <w:t xml:space="preserve"> ha habilitado a un conjunto de voces oficiales o no, dispuestas a apuntar a puesteros de manera genérica por la perdida de seguridad ecológica de un tipo de fauna que esta en peligro. </w:t>
      </w:r>
    </w:p>
    <w:p w:rsidR="008E4C41" w:rsidRDefault="008E4C41">
      <w:pPr>
        <w:jc w:val="both"/>
      </w:pPr>
    </w:p>
    <w:p w:rsidR="008E4C41" w:rsidRDefault="008E4C41">
      <w:pPr>
        <w:jc w:val="both"/>
      </w:pPr>
      <w:r>
        <w:t>Resulta llamativo que no se ponga sobre la mesa la histórica demanda de puesteros por sus tierras, que escasamente se mencione la extranjerización del territorio campesino local, o las condiciones de vida de los pobladores rurales sin asistencia, caminos, ni resguardos ante la perdida de su producción; mucho menos se escucha hablar de quienes comercializan de sustancias toxicas como carbofurano u otros pesticidas propios del agronegocio, que se expande por Argentina y América Latina...</w:t>
      </w:r>
    </w:p>
    <w:p w:rsidR="008E4C41" w:rsidRDefault="008E4C41">
      <w:pPr>
        <w:jc w:val="both"/>
      </w:pPr>
    </w:p>
    <w:p w:rsidR="008E4C41" w:rsidRDefault="008E4C41">
      <w:pPr>
        <w:jc w:val="both"/>
      </w:pPr>
      <w:r>
        <w:t>Una mirada crítica con sensibilidad ecológica que desconoce el proceso de acaparamiento de tierras, la expulsión de las comunidades rurales y sus procesos de resistencia, difícilmente alcance a aportar soluciones a las problemáticas sociales de nuestro ter</w:t>
      </w:r>
      <w:r w:rsidR="00265B53">
        <w:t>ritorio. Las formas de daños o costes medioambientales</w:t>
      </w:r>
      <w:r>
        <w:t xml:space="preserve"> de cierto tipo de actividad ganadera</w:t>
      </w:r>
      <w:r>
        <w:rPr>
          <w:rStyle w:val="Refdenotaalpie"/>
        </w:rPr>
        <w:footnoteReference w:id="4"/>
      </w:r>
      <w:r>
        <w:t xml:space="preserve"> o pecuaria, debe ser leída en clave de generar mejores condiciones para la actividad campesina como tal, -por la cual luchan los movimientos campesinos a nivel internacional como la Vía Campesina-, y no en los términos que sugiere el gran capital: terminar de borrar al sujeto campesino. Así como en el proceso de globalización se expande un sistema económico neoliberal, también se multiplican las esperanzas globales de reconocimiento a la vida de las comunidades campesinas, como nuestros puesteros y crianceros locales.</w:t>
      </w:r>
    </w:p>
    <w:p w:rsidR="008E4C41" w:rsidRDefault="008E4C41">
      <w:pPr>
        <w:jc w:val="both"/>
      </w:pPr>
    </w:p>
    <w:p w:rsidR="008E4C41" w:rsidRDefault="008E4C41">
      <w:pPr>
        <w:jc w:val="both"/>
      </w:pPr>
      <w:r>
        <w:rPr>
          <w:sz w:val="22"/>
          <w:szCs w:val="22"/>
        </w:rPr>
        <w:t>* Licenciado en Ciencias Políticas. Facultad de Ciencias Políticas y Sociales UNCuyo. Mendoza, Argentina.</w:t>
      </w:r>
    </w:p>
    <w:p w:rsidR="008E4C41" w:rsidRDefault="008E4C41">
      <w:pPr>
        <w:jc w:val="both"/>
      </w:pPr>
      <w:hyperlink r:id="rId7" w:history="1">
        <w:r>
          <w:rPr>
            <w:rStyle w:val="Hipervnculo"/>
          </w:rPr>
          <w:t>oscaritosoto@gmail.com</w:t>
        </w:r>
      </w:hyperlink>
      <w:r>
        <w:rPr>
          <w:sz w:val="22"/>
          <w:szCs w:val="22"/>
        </w:rPr>
        <w:t xml:space="preserve"> / @OscaritoSoto  </w:t>
      </w:r>
    </w:p>
    <w:sectPr w:rsidR="008E4C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AF" w:rsidRDefault="00723DAF">
      <w:r>
        <w:separator/>
      </w:r>
    </w:p>
  </w:endnote>
  <w:endnote w:type="continuationSeparator" w:id="0">
    <w:p w:rsidR="00723DAF" w:rsidRDefault="0072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AF" w:rsidRDefault="00723DAF">
      <w:r>
        <w:separator/>
      </w:r>
    </w:p>
  </w:footnote>
  <w:footnote w:type="continuationSeparator" w:id="0">
    <w:p w:rsidR="00723DAF" w:rsidRDefault="00723DAF">
      <w:r>
        <w:continuationSeparator/>
      </w:r>
    </w:p>
  </w:footnote>
  <w:footnote w:id="1">
    <w:p w:rsidR="00D61711" w:rsidRPr="002C2022" w:rsidRDefault="00D61711">
      <w:pPr>
        <w:pStyle w:val="Textonotapie"/>
      </w:pPr>
      <w:r>
        <w:rPr>
          <w:rStyle w:val="Caracteresdenotaalpie"/>
        </w:rPr>
        <w:footnoteRef/>
      </w:r>
      <w:r>
        <w:tab/>
      </w:r>
      <w:r w:rsidRPr="002C2022">
        <w:t>Domínguez, D. (2012). Recampesinización en la Argentina del siglo XXI. Psicoperspectivas, 11 (1),</w:t>
      </w:r>
    </w:p>
    <w:p w:rsidR="00000000" w:rsidRDefault="00D61711">
      <w:pPr>
        <w:pStyle w:val="Textonotapie"/>
      </w:pPr>
      <w:r w:rsidRPr="002C2022">
        <w:tab/>
        <w:t>134-157. Recuperado el [día] de [mes] de [año] desde http://www.psicoperspectivas.cl</w:t>
      </w:r>
    </w:p>
  </w:footnote>
  <w:footnote w:id="2">
    <w:p w:rsidR="00000000" w:rsidRDefault="00D61711">
      <w:pPr>
        <w:pStyle w:val="Textonotapie"/>
      </w:pPr>
      <w:r w:rsidRPr="002C2022">
        <w:rPr>
          <w:rStyle w:val="Caracteresdenotaalpie"/>
        </w:rPr>
        <w:footnoteRef/>
      </w:r>
      <w:r w:rsidRPr="002C2022">
        <w:tab/>
        <w:t>Bartra, A (2010) Campesindios. Aproximaciones a los campesinos de un continente colonizado. Revista Memoria, Mexico.</w:t>
      </w:r>
    </w:p>
  </w:footnote>
  <w:footnote w:id="3">
    <w:p w:rsidR="00000000" w:rsidRDefault="00D61711">
      <w:pPr>
        <w:pStyle w:val="Textonotapie"/>
      </w:pPr>
      <w:r>
        <w:rPr>
          <w:rStyle w:val="Caracteresdenotaalpie"/>
        </w:rPr>
        <w:footnoteRef/>
      </w:r>
      <w:hyperlink r:id="rId1" w:history="1">
        <w:r w:rsidRPr="002C2022">
          <w:rPr>
            <w:rStyle w:val="Hipervnculo"/>
            <w:u w:val="none"/>
          </w:rPr>
          <w:tab/>
        </w:r>
        <w:r>
          <w:rPr>
            <w:rStyle w:val="Hipervnculo"/>
          </w:rPr>
          <w:t>https://www.pagina12.com.ar/91264-un-detenido-y-un-profugo-por-la-muerte-de-34-condores</w:t>
        </w:r>
      </w:hyperlink>
      <w:hyperlink w:history="1"/>
      <w:r>
        <w:t xml:space="preserve"> </w:t>
      </w:r>
    </w:p>
  </w:footnote>
  <w:footnote w:id="4">
    <w:p w:rsidR="00000000" w:rsidRDefault="00D61711">
      <w:pPr>
        <w:pStyle w:val="Textonotapie"/>
      </w:pPr>
      <w:r>
        <w:rPr>
          <w:rStyle w:val="Caracteresdenotaalpie"/>
        </w:rPr>
        <w:footnoteRef/>
      </w:r>
      <w:r>
        <w:tab/>
      </w:r>
      <w:r w:rsidRPr="002C2022">
        <w:t>La FAO apunta contra cierto tipo de actividad pecuario masiva pero destaca la necesidad de controlar los accesos y eliminar los obstáculos a la movilidad en los pastos comunales; incrementar la eficiencia de la producción ganadera</w:t>
      </w:r>
      <w:r>
        <w:t xml:space="preserve">. </w:t>
      </w:r>
      <w:hyperlink r:id="rId2" w:history="1">
        <w:r>
          <w:rPr>
            <w:rStyle w:val="Hipervnculo"/>
          </w:rPr>
          <w:t>http://www.fao.org/3/a-a0701s.pdf</w:t>
        </w:r>
      </w:hyperlink>
      <w:r>
        <w:t xml:space="preserve">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022"/>
    <w:rsid w:val="00265B53"/>
    <w:rsid w:val="002C2022"/>
    <w:rsid w:val="00723DAF"/>
    <w:rsid w:val="00871A13"/>
    <w:rsid w:val="008E4C41"/>
    <w:rsid w:val="00C838FB"/>
    <w:rsid w:val="00D61711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B4058D9-F76C-4FDF-A339-72EEA3FD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uiPriority w:val="99"/>
  </w:style>
  <w:style w:type="character" w:styleId="Refdenotaalpie">
    <w:name w:val="footnote reference"/>
    <w:uiPriority w:val="99"/>
    <w:rPr>
      <w:vertAlign w:val="superscript"/>
    </w:rPr>
  </w:style>
  <w:style w:type="character" w:styleId="Refdenotaalfinal">
    <w:name w:val="endnote reference"/>
    <w:uiPriority w:val="99"/>
    <w:rPr>
      <w:vertAlign w:val="superscript"/>
    </w:rPr>
  </w:style>
  <w:style w:type="character" w:customStyle="1" w:styleId="Caracteresdenotafinal">
    <w:name w:val="Caracteres de nota final"/>
    <w:uiPriority w:val="99"/>
  </w:style>
  <w:style w:type="character" w:styleId="Hipervnculo">
    <w:name w:val="Hyperlink"/>
    <w:uiPriority w:val="99"/>
    <w:rPr>
      <w:color w:val="000080"/>
      <w:u w:val="single"/>
      <w:lang/>
    </w:rPr>
  </w:style>
  <w:style w:type="paragraph" w:customStyle="1" w:styleId="Encabezado1">
    <w:name w:val="Encabezado1"/>
    <w:basedOn w:val="Normal"/>
    <w:next w:val="Textoindependiente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Pr>
      <w:rFonts w:cs="Mangal"/>
      <w:kern w:val="1"/>
      <w:sz w:val="24"/>
      <w:szCs w:val="21"/>
      <w:lang w:val="es-AR" w:eastAsia="zh-CN" w:bidi="hi-IN"/>
    </w:rPr>
  </w:style>
  <w:style w:type="paragraph" w:styleId="Lista">
    <w:name w:val="List"/>
    <w:basedOn w:val="Textoindependiente"/>
    <w:uiPriority w:val="99"/>
  </w:style>
  <w:style w:type="paragraph" w:styleId="Descripci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customStyle="1" w:styleId="Default">
    <w:name w:val="Default"/>
    <w:uiPriority w:val="99"/>
    <w:pPr>
      <w:widowControl w:val="0"/>
      <w:suppressAutoHyphens/>
    </w:pPr>
    <w:rPr>
      <w:rFonts w:ascii="Adobe Garamond Pro" w:hAnsi="Adobe Garamond Pro" w:cs="Mangal"/>
      <w:kern w:val="1"/>
      <w:sz w:val="24"/>
      <w:szCs w:val="24"/>
      <w:lang w:val="es-AR" w:eastAsia="zh-CN" w:bidi="hi-IN"/>
    </w:rPr>
  </w:style>
  <w:style w:type="paragraph" w:customStyle="1" w:styleId="Pa13">
    <w:name w:val="Pa13"/>
    <w:basedOn w:val="Default"/>
    <w:uiPriority w:val="99"/>
  </w:style>
  <w:style w:type="paragraph" w:styleId="Textonotapie">
    <w:name w:val="footnote text"/>
    <w:basedOn w:val="Normal"/>
    <w:link w:val="TextonotapieCar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rFonts w:cs="Mangal"/>
      <w:kern w:val="1"/>
      <w:sz w:val="20"/>
      <w:szCs w:val="18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caritoso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o.org/3/a-a0701s.pdf" TargetMode="External"/><Relationship Id="rId1" Type="http://schemas.openxmlformats.org/officeDocument/2006/relationships/hyperlink" Target="https://www.pagina12.com.ar/91264-un-detenido-y-un-profugo-por-la-muerte-de-34-cond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Puesteros, crianceros y campesinos trashumantes: reclamos y resistencias</vt:lpstr>
    </vt:vector>
  </TitlesOfParts>
  <Company>WindowsWolf.com.ar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Puesteros, crianceros y campesinos trashumantes: reclamos y resistencias</dc:title>
  <dc:subject/>
  <dc:creator>Wolf</dc:creator>
  <cp:keywords/>
  <dc:description/>
  <cp:lastModifiedBy>Rosario Hermano</cp:lastModifiedBy>
  <cp:revision>2</cp:revision>
  <dcterms:created xsi:type="dcterms:W3CDTF">2018-02-16T15:21:00Z</dcterms:created>
  <dcterms:modified xsi:type="dcterms:W3CDTF">2018-02-16T15:21:00Z</dcterms:modified>
</cp:coreProperties>
</file>