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La vida se derrama y debemos distribuirla a todos</w:t>
      </w: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Semana Santa – Triduo Pascual “ciclo B”</w:t>
      </w:r>
    </w:p>
    <w:p w:rsidR="00E30FFE" w:rsidRPr="00E30FFE" w:rsidRDefault="00E30FFE" w:rsidP="00E30FFE">
      <w:pPr>
        <w:shd w:val="clear" w:color="auto" w:fill="FFFFFF"/>
        <w:spacing w:after="0" w:line="240" w:lineRule="auto"/>
        <w:jc w:val="right"/>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right"/>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Eduardo de la Serna</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r w:rsidRPr="00E30FFE">
        <w:rPr>
          <w:rFonts w:ascii="Arial" w:eastAsia="Times New Roman" w:hAnsi="Arial" w:cs="Arial"/>
          <w:i/>
          <w:iCs/>
          <w:color w:val="4472C4"/>
          <w:sz w:val="24"/>
          <w:szCs w:val="24"/>
          <w:lang w:eastAsia="es-UY"/>
        </w:rPr>
        <w:t>Las lecturas del Triduo Pascual son siempre las mismas. Repetimos lo señalado años anteriores.</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r w:rsidRPr="00E30FFE">
        <w:rPr>
          <w:rFonts w:ascii="Arial" w:eastAsia="Times New Roman" w:hAnsi="Arial" w:cs="Arial"/>
          <w:noProof/>
          <w:color w:val="1155CC"/>
          <w:sz w:val="19"/>
          <w:szCs w:val="19"/>
          <w:lang w:eastAsia="es-UY"/>
        </w:rPr>
        <w:drawing>
          <wp:inline distT="0" distB="0" distL="0" distR="0" wp14:anchorId="7E92051D" wp14:editId="04613529">
            <wp:extent cx="3048000" cy="2286000"/>
            <wp:effectExtent l="0" t="0" r="0" b="0"/>
            <wp:docPr id="2" name="Imagen 2" descr="https://4.bp.blogspot.com/-pOz54fYnIAk/VRdAnWQge2I/AAAAAAAAEIM/PwC9mb3sxXg/s1600/Triduo%2BPascual.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pOz54fYnIAk/VRdAnWQge2I/AAAAAAAAEIM/PwC9mb3sxXg/s1600/Triduo%2BPascual.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Jueves Santo</w:t>
      </w: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Lectura del Evangelio según san Juan 13,1-15</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Resumen: el lavatorio de los pies a los discípulos muestra visiblemente, en Juan, cómo es el amor que Jesús ha manifestado hasta el extremo. Y cómo es el amor que pretende que tengan entre ellos “los unos a los otros”.</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Los estudiosos coinciden en general en que el Evangelio de Juan tiene 2 grandes partes. En 13,1 comienza solemnemente la segunda parte.  La clave parece estar en la llegada de “la hora” anunciada en la primera parte como algo futuro. Y esta hora ha llegado con el “paso” de Jesús de este mundo al Padre. Este “paso” tiene claras connotaciones pascuales (Pascua = paso) aunque la cena de Jesús no sea cena pascual en Juan. Este paso viene marcado por el “amor extremo” a “los suyos”. La unidad literaria parece seguir hasta el v.20 (como el doble “en verdad” del v.21, la frase conclusiva de v.20 y el nuevo comienzo del v.21 lo indican). La característica principal viene dada por el “lavado de los pies”. Esto es propio de los esclavos (ser esclavo y servir son la misma palabra en griego), y la palabra está mencionada en la interpretación que hace Jesús del hecho (omitida en la liturgia, en el v.16).  La negativa de Pedro a ser lavado tiene ese sentido, y esto es algo que será comprendido “más tarde”. Jesús, a continuación, lo explica: es algo que deben hacer “unos con otros”, es la expresión del amor que es verdadero cuando se vuelve “servicio”; ese es el “amor extremo”.</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Viernes Santo</w:t>
      </w: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Lectura del Evangelio de la Pasión según san Juan 18,1-19,42</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lastRenderedPageBreak/>
        <w:t>Resumen: La pasión según san Juan nos muestra un Jesús siempre soberano, del principio al fin es quien decide “voluntariamente” su situación;  la comunidad de discípulos –representados en su madre y el discípulo amado- están al pie de la cruz y reciben el espíritu, y todo el AT alcanza en Jesús su plenitud.</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El relato de la Pasión de Jesús según Juan, que se lee todos los años el Viernes Santo tiene muchas unidades e ideas que son propias de Juan y merecerían ser destacadas. Trataremos se señalar las principales.</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Jesús aparece como soberano, él es quien conduce los acontecimientos. Por ejemplo. Él determina que dejen ir libres a sus compañeros ya que lo buscan a él. Con ironía clásica de Juan, ante el “</w:t>
      </w:r>
      <w:r w:rsidRPr="00E30FFE">
        <w:rPr>
          <w:rFonts w:ascii="Arial" w:eastAsia="Times New Roman" w:hAnsi="Arial" w:cs="Arial"/>
          <w:i/>
          <w:iCs/>
          <w:color w:val="222222"/>
          <w:sz w:val="24"/>
          <w:szCs w:val="24"/>
          <w:lang w:eastAsia="es-UY"/>
        </w:rPr>
        <w:t>Yo soy</w:t>
      </w:r>
      <w:r w:rsidRPr="00E30FFE">
        <w:rPr>
          <w:rFonts w:ascii="Arial" w:eastAsia="Times New Roman" w:hAnsi="Arial" w:cs="Arial"/>
          <w:color w:val="222222"/>
          <w:sz w:val="24"/>
          <w:szCs w:val="24"/>
          <w:lang w:eastAsia="es-UY"/>
        </w:rPr>
        <w:t>” de Jesús (es el nombre divino en Éxodo) caen en tierra, algo característico de los que ven a Dios. Jesús repute dos veces este término, “yo soy”, lo que debe tenerse presente. A continuación Pedro dirá dos veces “</w:t>
      </w:r>
      <w:r w:rsidRPr="00E30FFE">
        <w:rPr>
          <w:rFonts w:ascii="Arial" w:eastAsia="Times New Roman" w:hAnsi="Arial" w:cs="Arial"/>
          <w:i/>
          <w:iCs/>
          <w:color w:val="222222"/>
          <w:sz w:val="24"/>
          <w:szCs w:val="24"/>
          <w:lang w:eastAsia="es-UY"/>
        </w:rPr>
        <w:t>no soy</w:t>
      </w:r>
      <w:r w:rsidRPr="00E30FFE">
        <w:rPr>
          <w:rFonts w:ascii="Arial" w:eastAsia="Times New Roman" w:hAnsi="Arial" w:cs="Arial"/>
          <w:color w:val="222222"/>
          <w:sz w:val="24"/>
          <w:szCs w:val="24"/>
          <w:lang w:eastAsia="es-UY"/>
        </w:rPr>
        <w:t>”. Por otra parte, como hace otras veces, Juan corrige o precisa datos de los Sinópticos como quien empuñó la espada e incluso el nombre del servidor del Sumo Sacerdote.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Con nueva ironía, Juan señala que cuando Jesús fue llevado a casa del Sumo Sacerdote, Pedro “y otro discípulo” (no dice de qué discípulo se trata; ¿el discípulo amado? No parece) “siguen” a Jesús. El verbo es irónico porque Pedro ya le había dicho a Jesús que lo seguiría (13,36-37), pero lo seguirá “físicamente”, no discipularmente. De hecho, “no es” (18,17.25). Recién cuando Pedro vaya a dar realmente la vida por Jesús, Él le dirá “sígueme” (21,19).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Ya en el “pretorio” (Juan no tiene “juicio religioso”, sino sólo un interrogatorio) el rol de </w:t>
      </w:r>
      <w:r w:rsidRPr="00E30FFE">
        <w:rPr>
          <w:rFonts w:ascii="Arial" w:eastAsia="Times New Roman" w:hAnsi="Arial" w:cs="Arial"/>
          <w:i/>
          <w:iCs/>
          <w:color w:val="222222"/>
          <w:sz w:val="24"/>
          <w:szCs w:val="24"/>
          <w:lang w:eastAsia="es-UY"/>
        </w:rPr>
        <w:t>Pilato</w:t>
      </w:r>
      <w:r w:rsidRPr="00E30FFE">
        <w:rPr>
          <w:rFonts w:ascii="Arial" w:eastAsia="Times New Roman" w:hAnsi="Arial" w:cs="Arial"/>
          <w:color w:val="222222"/>
          <w:sz w:val="24"/>
          <w:szCs w:val="24"/>
          <w:lang w:eastAsia="es-UY"/>
        </w:rPr>
        <w:t> es bastante limitado. Se pasa toda esta unidad “entrando” y “saliendo” ya que los judíos no quieren entrar para poder comer la pascua (18,28; lo que muestra que para Juan la cena de Jesús no fue cena pascual).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Hay algunas ideas que es bueno destacar. A Jesús no lo van a buscar con “armas y palos” sino con “</w:t>
      </w:r>
      <w:r w:rsidRPr="00E30FFE">
        <w:rPr>
          <w:rFonts w:ascii="Arial" w:eastAsia="Times New Roman" w:hAnsi="Arial" w:cs="Arial"/>
          <w:i/>
          <w:iCs/>
          <w:color w:val="222222"/>
          <w:sz w:val="24"/>
          <w:szCs w:val="24"/>
          <w:lang w:eastAsia="es-UY"/>
        </w:rPr>
        <w:t>antorchas, lámparas y palos</w:t>
      </w:r>
      <w:r w:rsidRPr="00E30FFE">
        <w:rPr>
          <w:rFonts w:ascii="Arial" w:eastAsia="Times New Roman" w:hAnsi="Arial" w:cs="Arial"/>
          <w:color w:val="222222"/>
          <w:sz w:val="24"/>
          <w:szCs w:val="24"/>
          <w:lang w:eastAsia="es-UY"/>
        </w:rPr>
        <w:t>” (18,3) porque viven en la oscuridad, son “</w:t>
      </w:r>
      <w:r w:rsidRPr="00E30FFE">
        <w:rPr>
          <w:rFonts w:ascii="Arial" w:eastAsia="Times New Roman" w:hAnsi="Arial" w:cs="Arial"/>
          <w:i/>
          <w:iCs/>
          <w:color w:val="222222"/>
          <w:sz w:val="24"/>
          <w:szCs w:val="24"/>
          <w:lang w:eastAsia="es-UY"/>
        </w:rPr>
        <w:t>de las tinieblas</w:t>
      </w:r>
      <w:r w:rsidRPr="00E30FFE">
        <w:rPr>
          <w:rFonts w:ascii="Arial" w:eastAsia="Times New Roman" w:hAnsi="Arial" w:cs="Arial"/>
          <w:color w:val="222222"/>
          <w:sz w:val="24"/>
          <w:szCs w:val="24"/>
          <w:lang w:eastAsia="es-UY"/>
        </w:rPr>
        <w:t>”; Pilato no sabe qué es la verdad, porque es “de la mentira” (18,38). Esto es importante, especialmente si recordamos que el diablo es “el padre de la mentira” (8,44) y el “príncipe de este mundo” (12,31; 14,30; 16,11) y – no está en la Biblia, pero no es ajeno al dualismo joánico - “príncipe de las tinieblas” (ver Hch 26,18; Col 1,13). Esto dice relación con la afirmación de que “mi reino no es de este mundo” que se suele interpretar como si se separaran en dos niveles las realidades, este mundo, tierra - “no de este mundo”, cielo.  En realidad, en Juan “mundo” es el ambiente adverso a Jesús (por eso el “príncipe de este mundo”). En este mundo –podríamos parafrasear- hay quienes viven (y reinan) según las tinieblas, la mentira y la muerte, y otros viven según la luz, la verdad y la vida. A eso Juan lo llama “estar en el mundo”, “no ser del mundo” (17,11.16). Por tanto, “</w:t>
      </w:r>
      <w:r w:rsidRPr="00E30FFE">
        <w:rPr>
          <w:rFonts w:ascii="Arial" w:eastAsia="Times New Roman" w:hAnsi="Arial" w:cs="Arial"/>
          <w:i/>
          <w:iCs/>
          <w:color w:val="222222"/>
          <w:sz w:val="24"/>
          <w:szCs w:val="24"/>
          <w:lang w:eastAsia="es-UY"/>
        </w:rPr>
        <w:t>mi reino no es de este mundo</w:t>
      </w:r>
      <w:r w:rsidRPr="00E30FFE">
        <w:rPr>
          <w:rFonts w:ascii="Arial" w:eastAsia="Times New Roman" w:hAnsi="Arial" w:cs="Arial"/>
          <w:color w:val="222222"/>
          <w:sz w:val="24"/>
          <w:szCs w:val="24"/>
          <w:lang w:eastAsia="es-UY"/>
        </w:rPr>
        <w:t>” no refiere al cielo, sino a que no se deja guiar por los criterios del “príncipe de este mundo”. Por ejemplo, si así fuera “mi gente habría combatido” (18,36). El reino que Jesús propone es reino de paz.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Otro elemento a tener en cuenta es que los </w:t>
      </w:r>
      <w:r w:rsidRPr="00E30FFE">
        <w:rPr>
          <w:rFonts w:ascii="Arial" w:eastAsia="Times New Roman" w:hAnsi="Arial" w:cs="Arial"/>
          <w:i/>
          <w:iCs/>
          <w:color w:val="222222"/>
          <w:sz w:val="24"/>
          <w:szCs w:val="24"/>
          <w:lang w:eastAsia="es-UY"/>
        </w:rPr>
        <w:t>judíos</w:t>
      </w:r>
      <w:r w:rsidRPr="00E30FFE">
        <w:rPr>
          <w:rFonts w:ascii="Arial" w:eastAsia="Times New Roman" w:hAnsi="Arial" w:cs="Arial"/>
          <w:color w:val="222222"/>
          <w:sz w:val="24"/>
          <w:szCs w:val="24"/>
          <w:lang w:eastAsia="es-UY"/>
        </w:rPr>
        <w:t> (que en Juan, como también “mundo” refiere al grupo hostil a Jesús) afirma que “</w:t>
      </w:r>
      <w:r w:rsidRPr="00E30FFE">
        <w:rPr>
          <w:rFonts w:ascii="Arial" w:eastAsia="Times New Roman" w:hAnsi="Arial" w:cs="Arial"/>
          <w:i/>
          <w:iCs/>
          <w:color w:val="222222"/>
          <w:sz w:val="24"/>
          <w:szCs w:val="24"/>
          <w:lang w:eastAsia="es-UY"/>
        </w:rPr>
        <w:t xml:space="preserve">no tenemos más rey que el </w:t>
      </w:r>
      <w:r w:rsidRPr="00E30FFE">
        <w:rPr>
          <w:rFonts w:ascii="Arial" w:eastAsia="Times New Roman" w:hAnsi="Arial" w:cs="Arial"/>
          <w:i/>
          <w:iCs/>
          <w:color w:val="222222"/>
          <w:sz w:val="24"/>
          <w:szCs w:val="24"/>
          <w:lang w:eastAsia="es-UY"/>
        </w:rPr>
        <w:lastRenderedPageBreak/>
        <w:t>César</w:t>
      </w:r>
      <w:r w:rsidRPr="00E30FFE">
        <w:rPr>
          <w:rFonts w:ascii="Arial" w:eastAsia="Times New Roman" w:hAnsi="Arial" w:cs="Arial"/>
          <w:color w:val="222222"/>
          <w:sz w:val="24"/>
          <w:szCs w:val="24"/>
          <w:lang w:eastAsia="es-UY"/>
        </w:rPr>
        <w:t>” (19,15). Israel es el pueblo que tiene a Dios por rey, pero acá se confirman como “amigos del César” (19,12).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Pilato lo entrega para que sea crucificado, y el que </w:t>
      </w:r>
      <w:r w:rsidRPr="00E30FFE">
        <w:rPr>
          <w:rFonts w:ascii="Arial" w:eastAsia="Times New Roman" w:hAnsi="Arial" w:cs="Arial"/>
          <w:i/>
          <w:iCs/>
          <w:color w:val="222222"/>
          <w:sz w:val="24"/>
          <w:szCs w:val="24"/>
          <w:lang w:eastAsia="es-UY"/>
        </w:rPr>
        <w:t>lleva la cruz es Jesús</w:t>
      </w:r>
      <w:r w:rsidRPr="00E30FFE">
        <w:rPr>
          <w:rFonts w:ascii="Arial" w:eastAsia="Times New Roman" w:hAnsi="Arial" w:cs="Arial"/>
          <w:color w:val="222222"/>
          <w:sz w:val="24"/>
          <w:szCs w:val="24"/>
          <w:lang w:eastAsia="es-UY"/>
        </w:rPr>
        <w:t>, no el Cireneo; seguramente como Isaac lleva la leña para el sacrificio (Gen 22,6).</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La </w:t>
      </w:r>
      <w:r w:rsidRPr="00E30FFE">
        <w:rPr>
          <w:rFonts w:ascii="Arial" w:eastAsia="Times New Roman" w:hAnsi="Arial" w:cs="Arial"/>
          <w:i/>
          <w:iCs/>
          <w:color w:val="222222"/>
          <w:sz w:val="24"/>
          <w:szCs w:val="24"/>
          <w:lang w:eastAsia="es-UY"/>
        </w:rPr>
        <w:t>vestidura de Jesús</w:t>
      </w:r>
      <w:r w:rsidRPr="00E30FFE">
        <w:rPr>
          <w:rFonts w:ascii="Arial" w:eastAsia="Times New Roman" w:hAnsi="Arial" w:cs="Arial"/>
          <w:color w:val="222222"/>
          <w:sz w:val="24"/>
          <w:szCs w:val="24"/>
          <w:lang w:eastAsia="es-UY"/>
        </w:rPr>
        <w:t> que se sortearán los soldados no tiene costura, se debe romper para partirla. Jesús viene a provocar unidad que la violencia, la mentira y las tinieblas rompen.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Juan incorpora una novedad al pie de la cruz, </w:t>
      </w:r>
      <w:r w:rsidRPr="00E30FFE">
        <w:rPr>
          <w:rFonts w:ascii="Arial" w:eastAsia="Times New Roman" w:hAnsi="Arial" w:cs="Arial"/>
          <w:i/>
          <w:iCs/>
          <w:color w:val="222222"/>
          <w:sz w:val="24"/>
          <w:szCs w:val="24"/>
          <w:lang w:eastAsia="es-UY"/>
        </w:rPr>
        <w:t>su madre y el discípulo amado</w:t>
      </w:r>
      <w:r w:rsidRPr="00E30FFE">
        <w:rPr>
          <w:rFonts w:ascii="Arial" w:eastAsia="Times New Roman" w:hAnsi="Arial" w:cs="Arial"/>
          <w:color w:val="222222"/>
          <w:sz w:val="24"/>
          <w:szCs w:val="24"/>
          <w:lang w:eastAsia="es-UY"/>
        </w:rPr>
        <w:t>. Por un lado, ambos personajes tienen gran carga simbólica en el Evangelio. Lo simbólico es evidente porque es absolutamente improbable que los romanos permitieran a alguien cerca de un crucificado. Por otro lado, llama nuevamente la atención que Jesús a su madre la llame –como en Caná (2,4)- “</w:t>
      </w:r>
      <w:r w:rsidRPr="00E30FFE">
        <w:rPr>
          <w:rFonts w:ascii="Arial" w:eastAsia="Times New Roman" w:hAnsi="Arial" w:cs="Arial"/>
          <w:i/>
          <w:iCs/>
          <w:color w:val="222222"/>
          <w:sz w:val="24"/>
          <w:szCs w:val="24"/>
          <w:lang w:eastAsia="es-UY"/>
        </w:rPr>
        <w:t>mujer</w:t>
      </w:r>
      <w:r w:rsidRPr="00E30FFE">
        <w:rPr>
          <w:rFonts w:ascii="Arial" w:eastAsia="Times New Roman" w:hAnsi="Arial" w:cs="Arial"/>
          <w:color w:val="222222"/>
          <w:sz w:val="24"/>
          <w:szCs w:val="24"/>
          <w:lang w:eastAsia="es-UY"/>
        </w:rPr>
        <w:t>”. No es razonable mirarlo atendiendo a lo “histórico” como señalando la crudeza del acontecimiento, o el dolor de una madre, sino en la familia que aquí se suscita. Una “mujer” (¿como Eva?) y un “discípulo” ejemplar, “amado”, que la “recibe como suya”.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Jesús es tan </w:t>
      </w:r>
      <w:r w:rsidRPr="00E30FFE">
        <w:rPr>
          <w:rFonts w:ascii="Arial" w:eastAsia="Times New Roman" w:hAnsi="Arial" w:cs="Arial"/>
          <w:i/>
          <w:iCs/>
          <w:color w:val="222222"/>
          <w:sz w:val="24"/>
          <w:szCs w:val="24"/>
          <w:lang w:eastAsia="es-UY"/>
        </w:rPr>
        <w:t>soberano</w:t>
      </w:r>
      <w:r w:rsidRPr="00E30FFE">
        <w:rPr>
          <w:rFonts w:ascii="Arial" w:eastAsia="Times New Roman" w:hAnsi="Arial" w:cs="Arial"/>
          <w:color w:val="222222"/>
          <w:sz w:val="24"/>
          <w:szCs w:val="24"/>
          <w:lang w:eastAsia="es-UY"/>
        </w:rPr>
        <w:t>, en Juan, que su muerte ocurre por determinación suya. A la </w:t>
      </w:r>
      <w:r w:rsidRPr="00E30FFE">
        <w:rPr>
          <w:rFonts w:ascii="Arial" w:eastAsia="Times New Roman" w:hAnsi="Arial" w:cs="Arial"/>
          <w:i/>
          <w:iCs/>
          <w:color w:val="222222"/>
          <w:sz w:val="24"/>
          <w:szCs w:val="24"/>
          <w:lang w:eastAsia="es-UY"/>
        </w:rPr>
        <w:t>hora</w:t>
      </w:r>
      <w:r w:rsidRPr="00E30FFE">
        <w:rPr>
          <w:rFonts w:ascii="Arial" w:eastAsia="Times New Roman" w:hAnsi="Arial" w:cs="Arial"/>
          <w:color w:val="222222"/>
          <w:sz w:val="24"/>
          <w:szCs w:val="24"/>
          <w:lang w:eastAsia="es-UY"/>
        </w:rPr>
        <w:t> de la matanza de los </w:t>
      </w:r>
      <w:r w:rsidRPr="00E30FFE">
        <w:rPr>
          <w:rFonts w:ascii="Arial" w:eastAsia="Times New Roman" w:hAnsi="Arial" w:cs="Arial"/>
          <w:i/>
          <w:iCs/>
          <w:color w:val="222222"/>
          <w:sz w:val="24"/>
          <w:szCs w:val="24"/>
          <w:lang w:eastAsia="es-UY"/>
        </w:rPr>
        <w:t>corderos de pascua</w:t>
      </w:r>
      <w:r w:rsidRPr="00E30FFE">
        <w:rPr>
          <w:rFonts w:ascii="Arial" w:eastAsia="Times New Roman" w:hAnsi="Arial" w:cs="Arial"/>
          <w:color w:val="222222"/>
          <w:sz w:val="24"/>
          <w:szCs w:val="24"/>
          <w:lang w:eastAsia="es-UY"/>
        </w:rPr>
        <w:t>, sin que se le </w:t>
      </w:r>
      <w:r w:rsidRPr="00E30FFE">
        <w:rPr>
          <w:rFonts w:ascii="Arial" w:eastAsia="Times New Roman" w:hAnsi="Arial" w:cs="Arial"/>
          <w:i/>
          <w:iCs/>
          <w:color w:val="222222"/>
          <w:sz w:val="24"/>
          <w:szCs w:val="24"/>
          <w:lang w:eastAsia="es-UY"/>
        </w:rPr>
        <w:t>quiebren las piernas</w:t>
      </w:r>
      <w:r w:rsidRPr="00E30FFE">
        <w:rPr>
          <w:rFonts w:ascii="Arial" w:eastAsia="Times New Roman" w:hAnsi="Arial" w:cs="Arial"/>
          <w:color w:val="222222"/>
          <w:sz w:val="24"/>
          <w:szCs w:val="24"/>
          <w:lang w:eastAsia="es-UY"/>
        </w:rPr>
        <w:t>, como a los corderos, y con la </w:t>
      </w:r>
      <w:r w:rsidRPr="00E30FFE">
        <w:rPr>
          <w:rFonts w:ascii="Arial" w:eastAsia="Times New Roman" w:hAnsi="Arial" w:cs="Arial"/>
          <w:i/>
          <w:iCs/>
          <w:color w:val="222222"/>
          <w:sz w:val="24"/>
          <w:szCs w:val="24"/>
          <w:lang w:eastAsia="es-UY"/>
        </w:rPr>
        <w:t>última gota</w:t>
      </w:r>
      <w:r w:rsidRPr="00E30FFE">
        <w:rPr>
          <w:rFonts w:ascii="Arial" w:eastAsia="Times New Roman" w:hAnsi="Arial" w:cs="Arial"/>
          <w:color w:val="222222"/>
          <w:sz w:val="24"/>
          <w:szCs w:val="24"/>
          <w:lang w:eastAsia="es-UY"/>
        </w:rPr>
        <w:t> de sangre, como a los corderos, con una rama de </w:t>
      </w:r>
      <w:r w:rsidRPr="00E30FFE">
        <w:rPr>
          <w:rFonts w:ascii="Arial" w:eastAsia="Times New Roman" w:hAnsi="Arial" w:cs="Arial"/>
          <w:i/>
          <w:iCs/>
          <w:color w:val="222222"/>
          <w:sz w:val="24"/>
          <w:szCs w:val="24"/>
          <w:lang w:eastAsia="es-UY"/>
        </w:rPr>
        <w:t>hisopo</w:t>
      </w:r>
      <w:r w:rsidRPr="00E30FFE">
        <w:rPr>
          <w:rFonts w:ascii="Arial" w:eastAsia="Times New Roman" w:hAnsi="Arial" w:cs="Arial"/>
          <w:color w:val="222222"/>
          <w:sz w:val="24"/>
          <w:szCs w:val="24"/>
          <w:lang w:eastAsia="es-UY"/>
        </w:rPr>
        <w:t>, como a los corderos; Juan nos reitera algo que señala desde el comienzo de su Evangelio, y es que Jesús reemplaza en su propia persona todo lo “religioso” de Israel: el Templo, las fiestas litúrgicas, la vid… el cordero pascual. Y al morir “</w:t>
      </w:r>
      <w:r w:rsidRPr="00E30FFE">
        <w:rPr>
          <w:rFonts w:ascii="Arial" w:eastAsia="Times New Roman" w:hAnsi="Arial" w:cs="Arial"/>
          <w:i/>
          <w:iCs/>
          <w:color w:val="222222"/>
          <w:sz w:val="24"/>
          <w:szCs w:val="24"/>
          <w:lang w:eastAsia="es-UY"/>
        </w:rPr>
        <w:t>entregó su espíritu</w:t>
      </w:r>
      <w:r w:rsidRPr="00E30FFE">
        <w:rPr>
          <w:rFonts w:ascii="Arial" w:eastAsia="Times New Roman" w:hAnsi="Arial" w:cs="Arial"/>
          <w:color w:val="222222"/>
          <w:sz w:val="24"/>
          <w:szCs w:val="24"/>
          <w:lang w:eastAsia="es-UY"/>
        </w:rPr>
        <w:t>”.</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Finalmente, a diferencia de los Sinópticos, Jesús es sepultado y </w:t>
      </w:r>
      <w:r w:rsidRPr="00E30FFE">
        <w:rPr>
          <w:rFonts w:ascii="Arial" w:eastAsia="Times New Roman" w:hAnsi="Arial" w:cs="Arial"/>
          <w:i/>
          <w:iCs/>
          <w:color w:val="222222"/>
          <w:sz w:val="24"/>
          <w:szCs w:val="24"/>
          <w:lang w:eastAsia="es-UY"/>
        </w:rPr>
        <w:t>embalsamado</w:t>
      </w:r>
      <w:r w:rsidRPr="00E30FFE">
        <w:rPr>
          <w:rFonts w:ascii="Arial" w:eastAsia="Times New Roman" w:hAnsi="Arial" w:cs="Arial"/>
          <w:color w:val="222222"/>
          <w:sz w:val="24"/>
          <w:szCs w:val="24"/>
          <w:lang w:eastAsia="es-UY"/>
        </w:rPr>
        <w:t> [ungido con bálsamo en las vendas “según la costumbre judía de sepultar” (19,40)]. En un </w:t>
      </w:r>
      <w:r w:rsidRPr="00E30FFE">
        <w:rPr>
          <w:rFonts w:ascii="Arial" w:eastAsia="Times New Roman" w:hAnsi="Arial" w:cs="Arial"/>
          <w:i/>
          <w:iCs/>
          <w:color w:val="222222"/>
          <w:sz w:val="24"/>
          <w:szCs w:val="24"/>
          <w:lang w:eastAsia="es-UY"/>
        </w:rPr>
        <w:t>jardín</w:t>
      </w:r>
      <w:r w:rsidRPr="00E30FFE">
        <w:rPr>
          <w:rFonts w:ascii="Arial" w:eastAsia="Times New Roman" w:hAnsi="Arial" w:cs="Arial"/>
          <w:color w:val="222222"/>
          <w:sz w:val="24"/>
          <w:szCs w:val="24"/>
          <w:lang w:eastAsia="es-UY"/>
        </w:rPr>
        <w:t> comenzó el drama (18,1) y en un jardín concluye (19,41).</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center"/>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Domingo de Resurrección:</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1ª lectura de los Hechos de los apóstoles 10,34a. 37-43</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Resumen: una síntesis del ministerio y pascua de Jesús da pie a la predicación a los paganos, y a que se derrame sobre ellos el Espíritu dando así lugar a la absoluta novedad de la universalidad.</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 xml:space="preserve">El texto de Hechos es extenso. Y repetitivo. De hecho la liturgia sólo se detiene en lo central y fundamental, pero no está de más mirar la idea principal antes de detenernos en él. Se trata de una unidad cuidadosamente armada por Lucas, presentando los personajes, y repitiendo y explicando las escenas más de una vez. Sinteticemos: una vez las presenta, la siguiente le da su sentido y en tercer momento la explica ante los Doce (10,1-26. 27-48; 11,1-18). ¿Por qué la insistencia? Puesto que el paso que se dará es casi lo contrario a todo lo que se decía en el A.T. y la predicación de Jesús. ¿Cómo se justifica el bautismo a paganos sin exigir nada previo, como la circuncisión, si el AT distinguía judíos de paganos y si Jesús había dicho “no vayan a territorios extranjeros… sólo a las ovejas perdidas del Pueblo de Israel”. El cambio que se dará en esta unidad es tan fundamental, tan decisivo que hace falta dejar bien claro, ¡insistentemente!, </w:t>
      </w:r>
      <w:r w:rsidRPr="00E30FFE">
        <w:rPr>
          <w:rFonts w:ascii="Arial" w:eastAsia="Times New Roman" w:hAnsi="Arial" w:cs="Arial"/>
          <w:color w:val="222222"/>
          <w:sz w:val="24"/>
          <w:szCs w:val="24"/>
          <w:lang w:eastAsia="es-UY"/>
        </w:rPr>
        <w:lastRenderedPageBreak/>
        <w:t>que está conducido por el Espíritu Santo (10,19.44.45.47; 11,2.15.16), un éxtasis-visión (10,10.28; 11,5) o por el Ángel del Señor (10,3.7.22.30; 11,13). En el centro de esto se encuentra la predicación de Pedro a los paganos en orden a “</w:t>
      </w:r>
      <w:r w:rsidRPr="00E30FFE">
        <w:rPr>
          <w:rFonts w:ascii="Arial" w:eastAsia="Times New Roman" w:hAnsi="Arial" w:cs="Arial"/>
          <w:i/>
          <w:iCs/>
          <w:color w:val="222222"/>
          <w:sz w:val="24"/>
          <w:szCs w:val="24"/>
          <w:lang w:eastAsia="es-UY"/>
        </w:rPr>
        <w:t>escuchar lo que le fue ordenado por el Señor</w:t>
      </w:r>
      <w:r w:rsidRPr="00E30FFE">
        <w:rPr>
          <w:rFonts w:ascii="Arial" w:eastAsia="Times New Roman" w:hAnsi="Arial" w:cs="Arial"/>
          <w:color w:val="222222"/>
          <w:sz w:val="24"/>
          <w:szCs w:val="24"/>
          <w:lang w:eastAsia="es-UY"/>
        </w:rPr>
        <w:t>” (10,33) y al decir esto se derrama el Espíritu (10,44) lo que causa que Pedro “</w:t>
      </w:r>
      <w:r w:rsidRPr="00E30FFE">
        <w:rPr>
          <w:rFonts w:ascii="Arial" w:eastAsia="Times New Roman" w:hAnsi="Arial" w:cs="Arial"/>
          <w:i/>
          <w:iCs/>
          <w:color w:val="222222"/>
          <w:sz w:val="24"/>
          <w:szCs w:val="24"/>
          <w:lang w:eastAsia="es-UY"/>
        </w:rPr>
        <w:t>mandó que fueran bautizados</w:t>
      </w:r>
      <w:r w:rsidRPr="00E30FFE">
        <w:rPr>
          <w:rFonts w:ascii="Arial" w:eastAsia="Times New Roman" w:hAnsi="Arial" w:cs="Arial"/>
          <w:color w:val="222222"/>
          <w:sz w:val="24"/>
          <w:szCs w:val="24"/>
          <w:lang w:eastAsia="es-UY"/>
        </w:rPr>
        <w:t>” (10,48). El texto que nos propone hoy la liturgia es, precisamente, este discurso de Pedro a los paganos contando “lo que sucedió…” (10,37).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Obviamente no interesa la historicidad de los acontecimientos que es pasible de sospecha (aquí el primer predicador a los paganos resulta “Pedro” y no Pablo, por ejemplo). Vayamos al texto.</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El discurso presenta una primera parte “histórica”, comenzando por el bautismo de Juan, el ministerio de Jesús (sintetizado en que “</w:t>
      </w:r>
      <w:r w:rsidRPr="00E30FFE">
        <w:rPr>
          <w:rFonts w:ascii="Arial" w:eastAsia="Times New Roman" w:hAnsi="Arial" w:cs="Arial"/>
          <w:i/>
          <w:iCs/>
          <w:color w:val="222222"/>
          <w:sz w:val="24"/>
          <w:szCs w:val="24"/>
          <w:lang w:eastAsia="es-UY"/>
        </w:rPr>
        <w:t>pasó haciendo el bien</w:t>
      </w:r>
      <w:r w:rsidRPr="00E30FFE">
        <w:rPr>
          <w:rFonts w:ascii="Arial" w:eastAsia="Times New Roman" w:hAnsi="Arial" w:cs="Arial"/>
          <w:color w:val="222222"/>
          <w:sz w:val="24"/>
          <w:szCs w:val="24"/>
          <w:lang w:eastAsia="es-UY"/>
        </w:rPr>
        <w:t>”, v.39), fue matado y resucitado apareciéndose a testigos elegidos (37-41). Pero esto no finaliza allí (como es característico de Lucas, cf. Lc 24,46-48) y debe continuar con la predicación, por ahora reducida “</w:t>
      </w:r>
      <w:r w:rsidRPr="00E30FFE">
        <w:rPr>
          <w:rFonts w:ascii="Arial" w:eastAsia="Times New Roman" w:hAnsi="Arial" w:cs="Arial"/>
          <w:i/>
          <w:iCs/>
          <w:color w:val="222222"/>
          <w:sz w:val="24"/>
          <w:szCs w:val="24"/>
          <w:lang w:eastAsia="es-UY"/>
        </w:rPr>
        <w:t>al Pueblo</w:t>
      </w:r>
      <w:r w:rsidRPr="00E30FFE">
        <w:rPr>
          <w:rFonts w:ascii="Arial" w:eastAsia="Times New Roman" w:hAnsi="Arial" w:cs="Arial"/>
          <w:color w:val="222222"/>
          <w:sz w:val="24"/>
          <w:szCs w:val="24"/>
          <w:lang w:eastAsia="es-UY"/>
        </w:rPr>
        <w:t>” (es decir, a Israel; v.42). Es a continuación que dará el siguiente paso cuando el Espíritu se derrame sobre los paganos lo que deja atónitos a los circuncisos al ver que el Espíritu Santo  se derramaba también sobre los paganos (v.45); a esto se lo ha llamado “Pentecostés de los paganos” (quizás un poco simplistamente, pero quizás justo en lo literario de Hechos). La introducción: “</w:t>
      </w:r>
      <w:r w:rsidRPr="00E30FFE">
        <w:rPr>
          <w:rFonts w:ascii="Arial" w:eastAsia="Times New Roman" w:hAnsi="Arial" w:cs="Arial"/>
          <w:i/>
          <w:iCs/>
          <w:color w:val="222222"/>
          <w:sz w:val="24"/>
          <w:szCs w:val="24"/>
          <w:lang w:eastAsia="es-UY"/>
        </w:rPr>
        <w:t>veo que Dios no hace acepción de personas</w:t>
      </w:r>
      <w:r w:rsidRPr="00E30FFE">
        <w:rPr>
          <w:rFonts w:ascii="Arial" w:eastAsia="Times New Roman" w:hAnsi="Arial" w:cs="Arial"/>
          <w:color w:val="222222"/>
          <w:sz w:val="24"/>
          <w:szCs w:val="24"/>
          <w:lang w:eastAsia="es-UY"/>
        </w:rPr>
        <w:t>” (v.34) y esta conclusión del don del Espíritu – ambas omitidas en la liturgia – son las que le dan sentido a toda la unidad.</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Veamos brevemente el discurso: Lucas presenta una síntesis geográfica (en </w:t>
      </w:r>
      <w:r w:rsidRPr="00E30FFE">
        <w:rPr>
          <w:rFonts w:ascii="Arial" w:eastAsia="Times New Roman" w:hAnsi="Arial" w:cs="Arial"/>
          <w:i/>
          <w:iCs/>
          <w:color w:val="222222"/>
          <w:sz w:val="24"/>
          <w:szCs w:val="24"/>
          <w:lang w:eastAsia="es-UY"/>
        </w:rPr>
        <w:t>Judea</w:t>
      </w:r>
      <w:r w:rsidRPr="00E30FFE">
        <w:rPr>
          <w:rFonts w:ascii="Arial" w:eastAsia="Times New Roman" w:hAnsi="Arial" w:cs="Arial"/>
          <w:color w:val="222222"/>
          <w:sz w:val="24"/>
          <w:szCs w:val="24"/>
          <w:lang w:eastAsia="es-UY"/>
        </w:rPr>
        <w:t> comenzando en Galilea) e histórica (del </w:t>
      </w:r>
      <w:r w:rsidRPr="00E30FFE">
        <w:rPr>
          <w:rFonts w:ascii="Arial" w:eastAsia="Times New Roman" w:hAnsi="Arial" w:cs="Arial"/>
          <w:i/>
          <w:iCs/>
          <w:color w:val="222222"/>
          <w:sz w:val="24"/>
          <w:szCs w:val="24"/>
          <w:lang w:eastAsia="es-UY"/>
        </w:rPr>
        <w:t>bautismo</w:t>
      </w:r>
      <w:r w:rsidRPr="00E30FFE">
        <w:rPr>
          <w:rFonts w:ascii="Arial" w:eastAsia="Times New Roman" w:hAnsi="Arial" w:cs="Arial"/>
          <w:color w:val="222222"/>
          <w:sz w:val="24"/>
          <w:szCs w:val="24"/>
          <w:lang w:eastAsia="es-UY"/>
        </w:rPr>
        <w:t> a la </w:t>
      </w:r>
      <w:r w:rsidRPr="00E30FFE">
        <w:rPr>
          <w:rFonts w:ascii="Arial" w:eastAsia="Times New Roman" w:hAnsi="Arial" w:cs="Arial"/>
          <w:i/>
          <w:iCs/>
          <w:color w:val="222222"/>
          <w:sz w:val="24"/>
          <w:szCs w:val="24"/>
          <w:lang w:eastAsia="es-UY"/>
        </w:rPr>
        <w:t>muerte-resurrección</w:t>
      </w:r>
      <w:r w:rsidRPr="00E30FFE">
        <w:rPr>
          <w:rFonts w:ascii="Arial" w:eastAsia="Times New Roman" w:hAnsi="Arial" w:cs="Arial"/>
          <w:color w:val="222222"/>
          <w:sz w:val="24"/>
          <w:szCs w:val="24"/>
          <w:lang w:eastAsia="es-UY"/>
        </w:rPr>
        <w:t>) del ministerio de Jesús. Algunos elementos característicos de la teología de Lucas están señalados: el rol del Espíritu Santo en el ministerio de Jesús, el enfrentamiento con el diablo, el rol de los apóstoles como testigos, señalados como los que comieron y bebieron con él, el mandato de predicar, el rol de los profetas y el perdón. Todo esto – como se dijo – presentado en un marco histórico-geográfico, también característico de Lucas. Estamos –entonces- en una síntesis de la predicación, del “evangelio” de Lucas sintetizado en pocos versículos. De eso se trata este discurso que provoca la aceptación del evangelio por parte de los paganos y desencadena la que probablemente sea la máxima revolución de toda la historia de la Iglesia. Los paganos, despreciados y rechazados en Israel son ahora invitados a integrarse por el bautismo y la aceptación del Evangelio como miembros plenos del pueblo de Dios.</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2ª lectura de la carta a los Colosenses 3,1-4</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Resumen: La “comunión de los santos” permite que entre Cristo resucitado y la comunidad peregrina haya una relación tan estrecha que ya desde “ahora” vivamos como resucitados.</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La liturgia permite hoy la elección de una entre dos lecturas; hemos seleccionado el texto de Colosenses.</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 xml:space="preserve">Un discípulo de Pablo, pasado ya un buen tiempo, decide enfrentar, como si Pablo lo hiciera, una serie de nuevos problemas. Escribir que el autor es Pablo es una manera obvia de decir “yo soy su discípulo y sé que esto es lo que Pablo </w:t>
      </w:r>
      <w:r w:rsidRPr="00E30FFE">
        <w:rPr>
          <w:rFonts w:ascii="Arial" w:eastAsia="Times New Roman" w:hAnsi="Arial" w:cs="Arial"/>
          <w:color w:val="222222"/>
          <w:sz w:val="24"/>
          <w:szCs w:val="24"/>
          <w:lang w:eastAsia="es-UY"/>
        </w:rPr>
        <w:lastRenderedPageBreak/>
        <w:t>les diría si estuviese en este momento”. Uno de los temas – no el principal de la carta, pero si importante – es que la venida de Jesús que se esperaba inminente (ver 1 Tes 4,15-17; 1 Cor 15,51-52) se demora. En este sentido, en el cristianismo de la segunda generación surgen fundamentalmente dos respuestas. Una – patente, por ejemplo, en 2 Pe 3,3-4.8-10 – señala que se demora para dar a todos la ocasión de la conversión; otra, habitual en los discípulos de Pablo como el autor de Colosenses, señala que en cierta manera ya vino, que ya estamos de algún modo resucitados. Podríamos decir que falta “ultimar algunos detalles”. La parte teórica de la carta finaliza en 3,4 ya que en 3,5 saca las conclusiones prácticas de lo dicho para la vida de la comunidad. 3,1-4 aparece como una conclusión teórica de todo lo dicho que es claramente cristocéntrico. Un tema característico de esta carta, y su “parienta” a los Efesios es la idea de que Cristo es cabeza del cuerpo que es la Iglesia. Hay una unión tan profunda entre ambos, como la que tienen el cuerpo y su cabeza (1,18.24; 2,19). Por eso presenta a Cristo como “el primer nacido de entre los muertos” (1,18), los demás seguirán sus pasos.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Esto es lo que da razón a la primera frase del texto de la liturgia que es ciertamente sorprendente: “</w:t>
      </w:r>
      <w:r w:rsidRPr="00E30FFE">
        <w:rPr>
          <w:rFonts w:ascii="Arial" w:eastAsia="Times New Roman" w:hAnsi="Arial" w:cs="Arial"/>
          <w:i/>
          <w:iCs/>
          <w:color w:val="222222"/>
          <w:sz w:val="24"/>
          <w:szCs w:val="24"/>
          <w:lang w:eastAsia="es-UY"/>
        </w:rPr>
        <w:t>han resucitado con Cristo</w:t>
      </w:r>
      <w:r w:rsidRPr="00E30FFE">
        <w:rPr>
          <w:rFonts w:ascii="Arial" w:eastAsia="Times New Roman" w:hAnsi="Arial" w:cs="Arial"/>
          <w:color w:val="222222"/>
          <w:sz w:val="24"/>
          <w:szCs w:val="24"/>
          <w:lang w:eastAsia="es-UY"/>
        </w:rPr>
        <w:t>”. No es “resucitarán” sino ya lo han hecho (en griego es un aoristo, lo que significa que es algo que ha ocurrido en un momento concreto y preciso del pasado). Es típico de Pablo, y acá lo repite su discípulo, señalar una tensión entre la realidad (indicativo) y lo que se debiera (imperativo). Acá la tensión es que puesto que ya estamos resucitados, debiéramos buscar lo de arriba. El Jesús de Juan afirmaba que es “</w:t>
      </w:r>
      <w:r w:rsidRPr="00E30FFE">
        <w:rPr>
          <w:rFonts w:ascii="Arial" w:eastAsia="Times New Roman" w:hAnsi="Arial" w:cs="Arial"/>
          <w:i/>
          <w:iCs/>
          <w:color w:val="222222"/>
          <w:sz w:val="24"/>
          <w:szCs w:val="24"/>
          <w:lang w:eastAsia="es-UY"/>
        </w:rPr>
        <w:t>de arriba</w:t>
      </w:r>
      <w:r w:rsidRPr="00E30FFE">
        <w:rPr>
          <w:rFonts w:ascii="Arial" w:eastAsia="Times New Roman" w:hAnsi="Arial" w:cs="Arial"/>
          <w:color w:val="222222"/>
          <w:sz w:val="24"/>
          <w:szCs w:val="24"/>
          <w:lang w:eastAsia="es-UY"/>
        </w:rPr>
        <w:t>” (8,23), y al dirigirse a Dios Jesús levanta los ojos para arriba (11,41). Arriba refiere claramente al cielo (ver Hch 2,19), de allí viene la “Jerusalén de arriba” (Ga 4,26) y desde “arriba” Jesús llama a Pablo para un premio (Fil 3,14). De hecho, el versículo siguiente contrasta lo de arriba con lo de la “tierra”, arriba está Cristo sentado a la diestra de Dios. También en Ef se afirma que Jesús está sentado a la derecha en los cielos (1,20). La imagen es tradicional (ver Mt 26,64; Mc 14,62; 16,19; Hch 2,34; 7,55.56 [aunque en estos vv., está “de pie”]; Heb 8,1; 1 Pe 3,22). Como claramente lo destaca Hch 2,34, el texto es una alusión al Sal 110,1 que es un Salmo que canta al rey como “virrey” de Dios. El cristianismo primitivo, como lo señala la abundancia de veces en que es citado, recurrió a este texto para manifestar el cumplimiento de las escrituras en la resurrección de Jesús y su lógica “ausencia” posterior.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Buscar lo de arriba</w:t>
      </w:r>
      <w:r w:rsidRPr="00E30FFE">
        <w:rPr>
          <w:rFonts w:ascii="Arial" w:eastAsia="Times New Roman" w:hAnsi="Arial" w:cs="Arial"/>
          <w:color w:val="222222"/>
          <w:sz w:val="24"/>
          <w:szCs w:val="24"/>
          <w:lang w:eastAsia="es-UY"/>
        </w:rPr>
        <w:t>, aspirar a lo de arriba, son evidentemente un paralelismo. Aspirar no es preciso, el verbo </w:t>
      </w:r>
      <w:r w:rsidRPr="00E30FFE">
        <w:rPr>
          <w:rFonts w:ascii="Arial" w:eastAsia="Times New Roman" w:hAnsi="Arial" w:cs="Arial"/>
          <w:i/>
          <w:iCs/>
          <w:color w:val="222222"/>
          <w:sz w:val="24"/>
          <w:szCs w:val="24"/>
          <w:lang w:eastAsia="es-UY"/>
        </w:rPr>
        <w:t>fronéô</w:t>
      </w:r>
      <w:r w:rsidRPr="00E30FFE">
        <w:rPr>
          <w:rFonts w:ascii="Arial" w:eastAsia="Times New Roman" w:hAnsi="Arial" w:cs="Arial"/>
          <w:color w:val="222222"/>
          <w:sz w:val="24"/>
          <w:szCs w:val="24"/>
          <w:lang w:eastAsia="es-UY"/>
        </w:rPr>
        <w:t> es también pensar, sostener y es casi exclusivamente paulino (x26 de las que x22 en Pablo [10 en Fil y 9 en Rom], una en Mt, Mc y Hch, y acá en Colosenses).  Hay dos textos paulinos que hacen más claro el sentido: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10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“Efectivamente, los que viven según la carne, desean [</w:t>
      </w:r>
      <w:r w:rsidRPr="00E30FFE">
        <w:rPr>
          <w:rFonts w:ascii="Arial" w:eastAsia="Times New Roman" w:hAnsi="Arial" w:cs="Arial"/>
          <w:i/>
          <w:iCs/>
          <w:color w:val="222222"/>
          <w:sz w:val="24"/>
          <w:szCs w:val="24"/>
          <w:lang w:eastAsia="es-UY"/>
        </w:rPr>
        <w:t>fronoûsin</w:t>
      </w:r>
      <w:r w:rsidRPr="00E30FFE">
        <w:rPr>
          <w:rFonts w:ascii="Arial" w:eastAsia="Times New Roman" w:hAnsi="Arial" w:cs="Arial"/>
          <w:color w:val="222222"/>
          <w:sz w:val="24"/>
          <w:szCs w:val="24"/>
          <w:lang w:eastAsia="es-UY"/>
        </w:rPr>
        <w:t>] lo carnal; mas los que viven según el espíritu, lo espiritual” (Rom 8,5) y </w:t>
      </w:r>
    </w:p>
    <w:p w:rsidR="00E30FFE" w:rsidRPr="00E30FFE" w:rsidRDefault="00E30FFE" w:rsidP="00E30FFE">
      <w:pPr>
        <w:shd w:val="clear" w:color="auto" w:fill="FFFFFF"/>
        <w:spacing w:after="10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“algunos se comportan como enemigos de la cruz de Cristo, cuyo final es la perdición, cuyo Dios es el vientre, y cuya gloria está en su vergüenza, que no piensan [</w:t>
      </w:r>
      <w:r w:rsidRPr="00E30FFE">
        <w:rPr>
          <w:rFonts w:ascii="Arial" w:eastAsia="Times New Roman" w:hAnsi="Arial" w:cs="Arial"/>
          <w:i/>
          <w:iCs/>
          <w:color w:val="222222"/>
          <w:sz w:val="24"/>
          <w:szCs w:val="24"/>
          <w:lang w:eastAsia="es-UY"/>
        </w:rPr>
        <w:t>fronoûntes</w:t>
      </w:r>
      <w:r w:rsidRPr="00E30FFE">
        <w:rPr>
          <w:rFonts w:ascii="Arial" w:eastAsia="Times New Roman" w:hAnsi="Arial" w:cs="Arial"/>
          <w:color w:val="222222"/>
          <w:sz w:val="24"/>
          <w:szCs w:val="24"/>
          <w:lang w:eastAsia="es-UY"/>
        </w:rPr>
        <w:t>] más que en las cosas de la tierra. (Fil 3,19). </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lastRenderedPageBreak/>
        <w:t>En ambos casos, lo que se ambiciona es vivir según la novedad que trajo Cristo, o – por el contrario – vivir como si no hubiera tocado nuestra existencia. No se trata – entonces – de llevar una suerte de “vida espiritual” o “celestial” sino a sacar todas las conclusiones que la vida “en Cristo” supone para nuestra existencia. Por eso afirmará que “</w:t>
      </w:r>
      <w:r w:rsidRPr="00E30FFE">
        <w:rPr>
          <w:rFonts w:ascii="Arial" w:eastAsia="Times New Roman" w:hAnsi="Arial" w:cs="Arial"/>
          <w:i/>
          <w:iCs/>
          <w:color w:val="222222"/>
          <w:sz w:val="24"/>
          <w:szCs w:val="24"/>
          <w:lang w:eastAsia="es-UY"/>
        </w:rPr>
        <w:t>hemos muerto</w:t>
      </w:r>
      <w:r w:rsidRPr="00E30FFE">
        <w:rPr>
          <w:rFonts w:ascii="Arial" w:eastAsia="Times New Roman" w:hAnsi="Arial" w:cs="Arial"/>
          <w:color w:val="222222"/>
          <w:sz w:val="24"/>
          <w:szCs w:val="24"/>
          <w:lang w:eastAsia="es-UY"/>
        </w:rPr>
        <w:t>” y “</w:t>
      </w:r>
      <w:r w:rsidRPr="00E30FFE">
        <w:rPr>
          <w:rFonts w:ascii="Arial" w:eastAsia="Times New Roman" w:hAnsi="Arial" w:cs="Arial"/>
          <w:i/>
          <w:iCs/>
          <w:color w:val="222222"/>
          <w:sz w:val="24"/>
          <w:szCs w:val="24"/>
          <w:lang w:eastAsia="es-UY"/>
        </w:rPr>
        <w:t>nuestra vida está oculta</w:t>
      </w:r>
      <w:r w:rsidRPr="00E30FFE">
        <w:rPr>
          <w:rFonts w:ascii="Arial" w:eastAsia="Times New Roman" w:hAnsi="Arial" w:cs="Arial"/>
          <w:color w:val="222222"/>
          <w:sz w:val="24"/>
          <w:szCs w:val="24"/>
          <w:lang w:eastAsia="es-UY"/>
        </w:rPr>
        <w:t>” en Dios, es decir “a la derecha de Dios”.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Por cuanto ya estamos con Cristo en Dios, cuando Cristo vuelva – como hemos señalado, lo que ocurrirá sin la tensión de las primeras comunidades, por cuanto ya estamos con él – la venida será menos “espectacular” que lo que parecía en un primer momento. Y junto con él apareceremos los que ya estemos con él. “Nuestra vida” está oculta – como Cristo – junto a Dios; pero él aparecerá, y ya es “</w:t>
      </w:r>
      <w:r w:rsidRPr="00E30FFE">
        <w:rPr>
          <w:rFonts w:ascii="Arial" w:eastAsia="Times New Roman" w:hAnsi="Arial" w:cs="Arial"/>
          <w:i/>
          <w:iCs/>
          <w:color w:val="222222"/>
          <w:sz w:val="24"/>
          <w:szCs w:val="24"/>
          <w:lang w:eastAsia="es-UY"/>
        </w:rPr>
        <w:t>vida de ustedes</w:t>
      </w:r>
      <w:r w:rsidRPr="00E30FFE">
        <w:rPr>
          <w:rFonts w:ascii="Arial" w:eastAsia="Times New Roman" w:hAnsi="Arial" w:cs="Arial"/>
          <w:color w:val="222222"/>
          <w:sz w:val="24"/>
          <w:szCs w:val="24"/>
          <w:lang w:eastAsia="es-UY"/>
        </w:rPr>
        <w:t>” (v.4) y “ustedes aparecerán en gloria” (ver 1,27).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Resucitados con él, escondidos con él, aparecerán como él, en gloria como él… la unión entre el Cristo glorioso y el cristiano es tan estrecha para el discípulo de Pablo que casi pareciera que ya no hay nada que esperar, sólo toca vivir aquello que ya somos.</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b/>
          <w:bCs/>
          <w:color w:val="222222"/>
          <w:sz w:val="24"/>
          <w:szCs w:val="24"/>
          <w:lang w:eastAsia="es-UY"/>
        </w:rPr>
        <w:t>+ Evangelio según san Juan 20,1-9</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Resumen: Los signos de la resurrección están presentes y allí deben los discípulos amados aprender a “creer sin ver”.</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Con un cambio cronológico Juan da comienzo a una nueva unidad, “</w:t>
      </w:r>
      <w:r w:rsidRPr="00E30FFE">
        <w:rPr>
          <w:rFonts w:ascii="Arial" w:eastAsia="Times New Roman" w:hAnsi="Arial" w:cs="Arial"/>
          <w:i/>
          <w:iCs/>
          <w:color w:val="222222"/>
          <w:sz w:val="24"/>
          <w:szCs w:val="24"/>
          <w:lang w:eastAsia="es-UY"/>
        </w:rPr>
        <w:t>el primer día de la semana</w:t>
      </w:r>
      <w:r w:rsidRPr="00E30FFE">
        <w:rPr>
          <w:rFonts w:ascii="Arial" w:eastAsia="Times New Roman" w:hAnsi="Arial" w:cs="Arial"/>
          <w:color w:val="222222"/>
          <w:sz w:val="24"/>
          <w:szCs w:val="24"/>
          <w:lang w:eastAsia="es-UY"/>
        </w:rPr>
        <w:t>”, es decir el “domingo”. La escena nos presenta una mujer sola que va al sepulcro. No va con otras a ungirlo porque en Juan Jesús sí fue ungido, por tanto no espera que alguien le corra la piedra; seguramente – como es habitual – va al sepulcro a llorar y lamentarse. Con mucha verosimilitud se ha propuesto que el rol de las mujeres en torno a la tumba, con sus cantos y llantos haciendo memoria del muerto parece haber sido el punto de partida de la proclamación y anuncio del Evangelio. Nada se dice de que María Magdalena, que ya la habíamos encontrada al pie de la cruz con otras mujeres y el discípulo amado (19,25), se haya asomado a la tumba ni lo que vio pero en el mensaje a Pedro y al otro discípulo les dice que “</w:t>
      </w:r>
      <w:r w:rsidRPr="00E30FFE">
        <w:rPr>
          <w:rFonts w:ascii="Arial" w:eastAsia="Times New Roman" w:hAnsi="Arial" w:cs="Arial"/>
          <w:i/>
          <w:iCs/>
          <w:color w:val="222222"/>
          <w:sz w:val="24"/>
          <w:szCs w:val="24"/>
          <w:lang w:eastAsia="es-UY"/>
        </w:rPr>
        <w:t>se han llevado al Señor y no sabemos</w:t>
      </w:r>
      <w:r w:rsidRPr="00E30FFE">
        <w:rPr>
          <w:rFonts w:ascii="Arial" w:eastAsia="Times New Roman" w:hAnsi="Arial" w:cs="Arial"/>
          <w:color w:val="222222"/>
          <w:sz w:val="24"/>
          <w:szCs w:val="24"/>
          <w:lang w:eastAsia="es-UY"/>
        </w:rPr>
        <w:t> (¡plural!) </w:t>
      </w:r>
      <w:r w:rsidRPr="00E30FFE">
        <w:rPr>
          <w:rFonts w:ascii="Arial" w:eastAsia="Times New Roman" w:hAnsi="Arial" w:cs="Arial"/>
          <w:i/>
          <w:iCs/>
          <w:color w:val="222222"/>
          <w:sz w:val="24"/>
          <w:szCs w:val="24"/>
          <w:lang w:eastAsia="es-UY"/>
        </w:rPr>
        <w:t>dónde lo han puesto</w:t>
      </w:r>
      <w:r w:rsidRPr="00E30FFE">
        <w:rPr>
          <w:rFonts w:ascii="Arial" w:eastAsia="Times New Roman" w:hAnsi="Arial" w:cs="Arial"/>
          <w:color w:val="222222"/>
          <w:sz w:val="24"/>
          <w:szCs w:val="24"/>
          <w:lang w:eastAsia="es-UY"/>
        </w:rPr>
        <w:t>”. Aquí desaparece de la escena la Magdalena hasta v.11 donde está llorando (¿por el duelo?), se asoma al sepulcro (¡ahora sí!) y ve dos ángeles. Ellos y luego Jesús, que se le aparece, le preguntan </w:t>
      </w:r>
      <w:r w:rsidRPr="00E30FFE">
        <w:rPr>
          <w:rFonts w:ascii="Arial" w:eastAsia="Times New Roman" w:hAnsi="Arial" w:cs="Arial"/>
          <w:i/>
          <w:iCs/>
          <w:color w:val="222222"/>
          <w:sz w:val="24"/>
          <w:szCs w:val="24"/>
          <w:lang w:eastAsia="es-UY"/>
        </w:rPr>
        <w:t>por qué llora</w:t>
      </w:r>
      <w:r w:rsidRPr="00E30FFE">
        <w:rPr>
          <w:rFonts w:ascii="Arial" w:eastAsia="Times New Roman" w:hAnsi="Arial" w:cs="Arial"/>
          <w:color w:val="222222"/>
          <w:sz w:val="24"/>
          <w:szCs w:val="24"/>
          <w:lang w:eastAsia="es-UY"/>
        </w:rPr>
        <w:t> desencadenando una nueva escena. Siendo que esta finaliza con María yendo a contar a los discípulos lo que ha visto, pareciera que el redactor del cuarto Evangelio expresamente adelantó la escena de Pedro y el discípulo amado por algún motivo teológico (que señalaremos). Es decir, los vv.3-10 parecen adelantados de su lugar original, y la razón parece estar en el rol que juegan tanto Pedro como el discípulo Amado en el Evangelio de Juan.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María no va a “los discípulos” sino sólo a </w:t>
      </w:r>
      <w:r w:rsidRPr="00E30FFE">
        <w:rPr>
          <w:rFonts w:ascii="Arial" w:eastAsia="Times New Roman" w:hAnsi="Arial" w:cs="Arial"/>
          <w:i/>
          <w:iCs/>
          <w:color w:val="222222"/>
          <w:sz w:val="24"/>
          <w:szCs w:val="24"/>
          <w:lang w:eastAsia="es-UY"/>
        </w:rPr>
        <w:t>Pedro y el discípulo amado</w:t>
      </w:r>
      <w:r w:rsidRPr="00E30FFE">
        <w:rPr>
          <w:rFonts w:ascii="Arial" w:eastAsia="Times New Roman" w:hAnsi="Arial" w:cs="Arial"/>
          <w:color w:val="222222"/>
          <w:sz w:val="24"/>
          <w:szCs w:val="24"/>
          <w:lang w:eastAsia="es-UY"/>
        </w:rPr>
        <w:t> y ellos “</w:t>
      </w:r>
      <w:r w:rsidRPr="00E30FFE">
        <w:rPr>
          <w:rFonts w:ascii="Arial" w:eastAsia="Times New Roman" w:hAnsi="Arial" w:cs="Arial"/>
          <w:i/>
          <w:iCs/>
          <w:color w:val="222222"/>
          <w:sz w:val="24"/>
          <w:szCs w:val="24"/>
          <w:lang w:eastAsia="es-UY"/>
        </w:rPr>
        <w:t>salen</w:t>
      </w:r>
      <w:r w:rsidRPr="00E30FFE">
        <w:rPr>
          <w:rFonts w:ascii="Arial" w:eastAsia="Times New Roman" w:hAnsi="Arial" w:cs="Arial"/>
          <w:color w:val="222222"/>
          <w:sz w:val="24"/>
          <w:szCs w:val="24"/>
          <w:lang w:eastAsia="es-UY"/>
        </w:rPr>
        <w:t>” (v.3) hacia el sepulcro, “</w:t>
      </w:r>
      <w:r w:rsidRPr="00E30FFE">
        <w:rPr>
          <w:rFonts w:ascii="Arial" w:eastAsia="Times New Roman" w:hAnsi="Arial" w:cs="Arial"/>
          <w:i/>
          <w:iCs/>
          <w:color w:val="222222"/>
          <w:sz w:val="24"/>
          <w:szCs w:val="24"/>
          <w:lang w:eastAsia="es-UY"/>
        </w:rPr>
        <w:t>corren</w:t>
      </w:r>
      <w:r w:rsidRPr="00E30FFE">
        <w:rPr>
          <w:rFonts w:ascii="Arial" w:eastAsia="Times New Roman" w:hAnsi="Arial" w:cs="Arial"/>
          <w:color w:val="222222"/>
          <w:sz w:val="24"/>
          <w:szCs w:val="24"/>
          <w:lang w:eastAsia="es-UY"/>
        </w:rPr>
        <w:t>” (v.4). La escena está construida de modo sencillo: van, llegan y vuelven. Obviamente el centro temático está en lo que ocurre en la tumba.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 xml:space="preserve">Veamos. Se dice que corren ambos, pero hay una diferencia entre ambos. El discípulo amado corre más rápido, ve el interior de la tumba, no entra. Espera a </w:t>
      </w:r>
      <w:r w:rsidRPr="00E30FFE">
        <w:rPr>
          <w:rFonts w:ascii="Arial" w:eastAsia="Times New Roman" w:hAnsi="Arial" w:cs="Arial"/>
          <w:color w:val="222222"/>
          <w:sz w:val="24"/>
          <w:szCs w:val="24"/>
          <w:lang w:eastAsia="es-UY"/>
        </w:rPr>
        <w:lastRenderedPageBreak/>
        <w:t>Pedro. Pedro se demora más, “</w:t>
      </w:r>
      <w:r w:rsidRPr="00E30FFE">
        <w:rPr>
          <w:rFonts w:ascii="Arial" w:eastAsia="Times New Roman" w:hAnsi="Arial" w:cs="Arial"/>
          <w:i/>
          <w:iCs/>
          <w:color w:val="222222"/>
          <w:sz w:val="24"/>
          <w:szCs w:val="24"/>
          <w:lang w:eastAsia="es-UY"/>
        </w:rPr>
        <w:t>lo sigue</w:t>
      </w:r>
      <w:r w:rsidRPr="00E30FFE">
        <w:rPr>
          <w:rFonts w:ascii="Arial" w:eastAsia="Times New Roman" w:hAnsi="Arial" w:cs="Arial"/>
          <w:color w:val="222222"/>
          <w:sz w:val="24"/>
          <w:szCs w:val="24"/>
          <w:lang w:eastAsia="es-UY"/>
        </w:rPr>
        <w:t>”, entra al sepulcro y ve las vendas y el sudario. Nuevamente entra en escena el discípulo amado, que ahora entra y “</w:t>
      </w:r>
      <w:r w:rsidRPr="00E30FFE">
        <w:rPr>
          <w:rFonts w:ascii="Arial" w:eastAsia="Times New Roman" w:hAnsi="Arial" w:cs="Arial"/>
          <w:i/>
          <w:iCs/>
          <w:color w:val="222222"/>
          <w:sz w:val="24"/>
          <w:szCs w:val="24"/>
          <w:lang w:eastAsia="es-UY"/>
        </w:rPr>
        <w:t>vio y creyó</w:t>
      </w:r>
      <w:r w:rsidRPr="00E30FFE">
        <w:rPr>
          <w:rFonts w:ascii="Arial" w:eastAsia="Times New Roman" w:hAnsi="Arial" w:cs="Arial"/>
          <w:color w:val="222222"/>
          <w:sz w:val="24"/>
          <w:szCs w:val="24"/>
          <w:lang w:eastAsia="es-UY"/>
        </w:rPr>
        <w:t>”. Concluye con una referencia a “</w:t>
      </w:r>
      <w:r w:rsidRPr="00E30FFE">
        <w:rPr>
          <w:rFonts w:ascii="Arial" w:eastAsia="Times New Roman" w:hAnsi="Arial" w:cs="Arial"/>
          <w:i/>
          <w:iCs/>
          <w:color w:val="222222"/>
          <w:sz w:val="24"/>
          <w:szCs w:val="24"/>
          <w:lang w:eastAsia="es-UY"/>
        </w:rPr>
        <w:t>la Escritura</w:t>
      </w:r>
      <w:r w:rsidRPr="00E30FFE">
        <w:rPr>
          <w:rFonts w:ascii="Arial" w:eastAsia="Times New Roman" w:hAnsi="Arial" w:cs="Arial"/>
          <w:color w:val="222222"/>
          <w:sz w:val="24"/>
          <w:szCs w:val="24"/>
          <w:lang w:eastAsia="es-UY"/>
        </w:rPr>
        <w:t>” (sin citar el texto de referencia) y la resurrección. Finalmente (omitido en la liturgia), vuelven a casa.</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La construcción, como se ve es muy sencilla, pero hay elementos interesantes a tener en cuenta.</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Pedro y el discípulo amado</w:t>
      </w:r>
      <w:r w:rsidRPr="00E30FFE">
        <w:rPr>
          <w:rFonts w:ascii="Arial" w:eastAsia="Times New Roman" w:hAnsi="Arial" w:cs="Arial"/>
          <w:color w:val="222222"/>
          <w:sz w:val="24"/>
          <w:szCs w:val="24"/>
          <w:lang w:eastAsia="es-UY"/>
        </w:rPr>
        <w:t>. Salvo en la escena de la cruz, el discípulo amado, el héroe de la comunidad joánica, está junto a Pedro. Pero siempre aparece como más cercano a Jesús que Pedro (de hecho es “el amado” por Jesús), en la cena es el que está junto a Jesús, no Pedro (13,23-25), es el que en la pesca le dice a Pedro que el que está en la orilla “es el Señor” (21,7), y cuando Pedro ha confesado 3 veces a Jesús que lo ama, del discípulo se dice que “permanece con Jesús hasta su vuelta” (21,22). En este caso, corre más rápido, “ve y cree”. En general se piensa que la comunidad de Juan, que se remite al discípulo amado, corre cada vez más el riesgo de sectarizarse, se distancia cada vez más de todos los grupos – incluso cristianos – del entorno. Entonces un redactor quiere evitar toda ruptura definitiva poniendo a su héroe en relación amable con el héroe de otras comunidades, Pedro. Es verdad que el discípulo amado es más, pero hay otras ovejas que no son de este rebaño, hay otras comunidades con las que estamos en comunión, al fin y al cabo también aman a Jesús. Es cierto que 3 veces lo negó, pero 3 veces le confesó su amor, aunque “nuestro héroe” permanezca fiel hasta el final. Aquí parece estar la primera razón del adelantamiento del texto que hemos señalado. Los primeros en acercarse al misterio de la Pascua son Pedro y el discípulo amado, y ambos entran al sepulcro y creen en la escritura (notar el plural, a pesar del singular anterior, que diremos).</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i/>
          <w:iCs/>
          <w:color w:val="222222"/>
          <w:sz w:val="24"/>
          <w:szCs w:val="24"/>
          <w:lang w:eastAsia="es-UY"/>
        </w:rPr>
        <w:t>Ver y creer</w:t>
      </w:r>
      <w:r w:rsidRPr="00E30FFE">
        <w:rPr>
          <w:rFonts w:ascii="Arial" w:eastAsia="Times New Roman" w:hAnsi="Arial" w:cs="Arial"/>
          <w:color w:val="222222"/>
          <w:sz w:val="24"/>
          <w:szCs w:val="24"/>
          <w:lang w:eastAsia="es-UY"/>
        </w:rPr>
        <w:t>: el tema es central en Juan, y es lo fundamental de la escena. No hay apariciones del resucitado (esas vendrán a continuación en el evangelio), sólo hay una tumba vacía y vendas. De Pedro se dice que “</w:t>
      </w:r>
      <w:r w:rsidRPr="00E30FFE">
        <w:rPr>
          <w:rFonts w:ascii="Arial" w:eastAsia="Times New Roman" w:hAnsi="Arial" w:cs="Arial"/>
          <w:i/>
          <w:iCs/>
          <w:color w:val="222222"/>
          <w:sz w:val="24"/>
          <w:szCs w:val="24"/>
          <w:lang w:eastAsia="es-UY"/>
        </w:rPr>
        <w:t>vio</w:t>
      </w:r>
      <w:r w:rsidRPr="00E30FFE">
        <w:rPr>
          <w:rFonts w:ascii="Arial" w:eastAsia="Times New Roman" w:hAnsi="Arial" w:cs="Arial"/>
          <w:color w:val="222222"/>
          <w:sz w:val="24"/>
          <w:szCs w:val="24"/>
          <w:lang w:eastAsia="es-UY"/>
        </w:rPr>
        <w:t>”, del discípulo amado que “</w:t>
      </w:r>
      <w:r w:rsidRPr="00E30FFE">
        <w:rPr>
          <w:rFonts w:ascii="Arial" w:eastAsia="Times New Roman" w:hAnsi="Arial" w:cs="Arial"/>
          <w:i/>
          <w:iCs/>
          <w:color w:val="222222"/>
          <w:sz w:val="24"/>
          <w:szCs w:val="24"/>
          <w:lang w:eastAsia="es-UY"/>
        </w:rPr>
        <w:t>vio y creyó</w:t>
      </w:r>
      <w:r w:rsidRPr="00E30FFE">
        <w:rPr>
          <w:rFonts w:ascii="Arial" w:eastAsia="Times New Roman" w:hAnsi="Arial" w:cs="Arial"/>
          <w:color w:val="222222"/>
          <w:sz w:val="24"/>
          <w:szCs w:val="24"/>
          <w:lang w:eastAsia="es-UY"/>
        </w:rPr>
        <w:t>”. Veamos brevemente. En el relato se usan 3 verbos griegos diferentes, al llegar el discípulo amado “</w:t>
      </w:r>
      <w:r w:rsidRPr="00E30FFE">
        <w:rPr>
          <w:rFonts w:ascii="Arial" w:eastAsia="Times New Roman" w:hAnsi="Arial" w:cs="Arial"/>
          <w:i/>
          <w:iCs/>
          <w:color w:val="222222"/>
          <w:sz w:val="24"/>
          <w:szCs w:val="24"/>
          <w:lang w:eastAsia="es-UY"/>
        </w:rPr>
        <w:t>ve (blépô) las vendas en el suelo</w:t>
      </w:r>
      <w:r w:rsidRPr="00E30FFE">
        <w:rPr>
          <w:rFonts w:ascii="Arial" w:eastAsia="Times New Roman" w:hAnsi="Arial" w:cs="Arial"/>
          <w:color w:val="222222"/>
          <w:sz w:val="24"/>
          <w:szCs w:val="24"/>
          <w:lang w:eastAsia="es-UY"/>
        </w:rPr>
        <w:t>”; luego Pedro “</w:t>
      </w:r>
      <w:r w:rsidRPr="00E30FFE">
        <w:rPr>
          <w:rFonts w:ascii="Arial" w:eastAsia="Times New Roman" w:hAnsi="Arial" w:cs="Arial"/>
          <w:i/>
          <w:iCs/>
          <w:color w:val="222222"/>
          <w:sz w:val="24"/>
          <w:szCs w:val="24"/>
          <w:lang w:eastAsia="es-UY"/>
        </w:rPr>
        <w:t>miró (teôréô) las vendas en el suelo y el sudario… no junto a las vendas sino plegado en un lugar aparte </w:t>
      </w:r>
      <w:r w:rsidRPr="00E30FFE">
        <w:rPr>
          <w:rFonts w:ascii="Arial" w:eastAsia="Times New Roman" w:hAnsi="Arial" w:cs="Arial"/>
          <w:color w:val="222222"/>
          <w:sz w:val="24"/>
          <w:szCs w:val="24"/>
          <w:lang w:eastAsia="es-UY"/>
        </w:rPr>
        <w:t>(quizás para insinuar que no se trata de que el cadáver fue robado)”; finalmente, al entrar el discípulo amado “</w:t>
      </w:r>
      <w:r w:rsidRPr="00E30FFE">
        <w:rPr>
          <w:rFonts w:ascii="Arial" w:eastAsia="Times New Roman" w:hAnsi="Arial" w:cs="Arial"/>
          <w:i/>
          <w:iCs/>
          <w:color w:val="222222"/>
          <w:sz w:val="24"/>
          <w:szCs w:val="24"/>
          <w:lang w:eastAsia="es-UY"/>
        </w:rPr>
        <w:t>vio (oráô) y creyó</w:t>
      </w:r>
      <w:r w:rsidRPr="00E30FFE">
        <w:rPr>
          <w:rFonts w:ascii="Arial" w:eastAsia="Times New Roman" w:hAnsi="Arial" w:cs="Arial"/>
          <w:color w:val="222222"/>
          <w:sz w:val="24"/>
          <w:szCs w:val="24"/>
          <w:lang w:eastAsia="es-UY"/>
        </w:rPr>
        <w:t>”:</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El primer “</w:t>
      </w:r>
      <w:r w:rsidRPr="00E30FFE">
        <w:rPr>
          <w:rFonts w:ascii="Arial" w:eastAsia="Times New Roman" w:hAnsi="Arial" w:cs="Arial"/>
          <w:i/>
          <w:iCs/>
          <w:color w:val="222222"/>
          <w:sz w:val="24"/>
          <w:szCs w:val="24"/>
          <w:lang w:eastAsia="es-UY"/>
        </w:rPr>
        <w:t>ver</w:t>
      </w:r>
      <w:r w:rsidRPr="00E30FFE">
        <w:rPr>
          <w:rFonts w:ascii="Arial" w:eastAsia="Times New Roman" w:hAnsi="Arial" w:cs="Arial"/>
          <w:color w:val="222222"/>
          <w:sz w:val="24"/>
          <w:szCs w:val="24"/>
          <w:lang w:eastAsia="es-UY"/>
        </w:rPr>
        <w:t>” (blépô) es también observar. Es lo que hizo María en el v.1: “vio la piedra quitada”. Lo encontramos x17 en Juan, de las que x9 en el relato de la curación del ciego (cap.9). Como es propio en Juan, allí se mueve en dos niveles: se alude claramente a la visión física (“ahora veo”) pero refiriendo a un ver distinto, aludiendo a la fe, como se ve en el v.39: “Y dijo Jesús: «Para un juicio he venido a este mundo: para que los que no ven, vean; y los que ven, se vuelvan ciegos»”. Es, entonces, un ver que prepara la fe.</w:t>
      </w:r>
    </w:p>
    <w:p w:rsidR="00E30FFE" w:rsidRPr="00E30FFE" w:rsidRDefault="00E30FFE" w:rsidP="00E30FFE">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 xml:space="preserve">El segundo “ver” (teôréô) (x24 en Juan) es más bien físico; en el relato del ciego, se aplica a los vecinos que “veían” al ciego mendigando; sin embargo se usa también para “ver los signos” (2,23; 6,2; 7,3), sin embargo, algunos “ven” al Hijo y “creen” (6,40) y estos serán resucitados “en el último día”, porque “el que me ve, ve al que me envió” </w:t>
      </w:r>
      <w:r w:rsidRPr="00E30FFE">
        <w:rPr>
          <w:rFonts w:ascii="Arial" w:eastAsia="Times New Roman" w:hAnsi="Arial" w:cs="Arial"/>
          <w:color w:val="222222"/>
          <w:sz w:val="24"/>
          <w:szCs w:val="24"/>
          <w:lang w:eastAsia="es-UY"/>
        </w:rPr>
        <w:lastRenderedPageBreak/>
        <w:t>(12,45), pero al despedirse a Jesús no lo verán, como el mundo no ve al espíritu, aunque los discípulos sí lo verán (14,17.19).</w:t>
      </w:r>
    </w:p>
    <w:p w:rsidR="00E30FFE" w:rsidRPr="00E30FFE" w:rsidRDefault="00E30FFE" w:rsidP="00E30FFE">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Finalmente el tercer uso (oráô) es el más común (x82). En el relato del ciego lo encontramos al principio (v.1, Jesús lo vio) y al final (v.37) “ese que has visto” que es el momento culminante de la fe del ciego. Ya en el discurso del pan de vida este verbo se relaciona estrechamente a “creer”: “le dijeron: ¿Qué señal haces para que viéndola creamos en ti?” (6:30), “me han visto y no creen” (6,36), el que “ve” a Jesús, “ve” al Padre (14,9), “afirma que no lo “verán”, y Jesús declara bienaventurados a “los que no han visto y han creído” (20,29). Esto nos permite suponer que no parece haber demasiada diferencia entre los tres, aunque el tercero está más estrechamente ligado a “creer”.</w:t>
      </w: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Los su parte “</w:t>
      </w:r>
      <w:r w:rsidRPr="00E30FFE">
        <w:rPr>
          <w:rFonts w:ascii="Arial" w:eastAsia="Times New Roman" w:hAnsi="Arial" w:cs="Arial"/>
          <w:i/>
          <w:iCs/>
          <w:color w:val="222222"/>
          <w:sz w:val="24"/>
          <w:szCs w:val="24"/>
          <w:lang w:eastAsia="es-UY"/>
        </w:rPr>
        <w:t>creer</w:t>
      </w:r>
      <w:r w:rsidRPr="00E30FFE">
        <w:rPr>
          <w:rFonts w:ascii="Arial" w:eastAsia="Times New Roman" w:hAnsi="Arial" w:cs="Arial"/>
          <w:color w:val="222222"/>
          <w:sz w:val="24"/>
          <w:szCs w:val="24"/>
          <w:lang w:eastAsia="es-UY"/>
        </w:rPr>
        <w:t>” es quizás la palabra principal (o una de ellas) de todo el Evangelio (x98). Todo él se escribió “para que crean” y “creyendo tengan vida” (20,31). Decir que el discípulo amado “cree” es decir que alcanza la vida. Amor – vida – creer (es interesante que en Juan no aparece jamás el sustantivo, “fe”) constituyen el todo. Y lo interesante es que es de este discípulo que se afirma que “cree”, y sin ver sino los signos de la resurrección (las vendas y la tumba vacía). “Ve” lo mismo que Pedro, pero “ve y cree”. </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Siendo que para esto se ha escrito el Evangelio, siendo que se declaran felices a los que creen sin haber visto, y siendo que el discípulo amado – ejemplo del verdadero discípulo – cree sin ver sino los signos de la resurrección, el relato nos desafía a creer con los signos (de los tiempos) y así tener la misma “vida” (que es vida divina).</w:t>
      </w:r>
    </w:p>
    <w:p w:rsidR="00E30FFE" w:rsidRPr="00E30FFE" w:rsidRDefault="00E30FFE" w:rsidP="00E30FFE">
      <w:pPr>
        <w:shd w:val="clear" w:color="auto" w:fill="FFFFFF"/>
        <w:spacing w:after="0" w:line="240" w:lineRule="auto"/>
        <w:jc w:val="both"/>
        <w:rPr>
          <w:rFonts w:ascii="Arial" w:eastAsia="Times New Roman" w:hAnsi="Arial" w:cs="Arial"/>
          <w:color w:val="222222"/>
          <w:sz w:val="19"/>
          <w:szCs w:val="19"/>
          <w:lang w:eastAsia="es-UY"/>
        </w:rPr>
      </w:pPr>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r w:rsidRPr="00E30FFE">
        <w:rPr>
          <w:rFonts w:ascii="Arial" w:eastAsia="Times New Roman" w:hAnsi="Arial" w:cs="Arial"/>
          <w:color w:val="222222"/>
          <w:sz w:val="24"/>
          <w:szCs w:val="24"/>
          <w:lang w:eastAsia="es-UY"/>
        </w:rPr>
        <w:t>Dibujo tomado de </w:t>
      </w:r>
      <w:hyperlink r:id="rId7" w:tgtFrame="_blank" w:history="1">
        <w:r w:rsidRPr="00E30FFE">
          <w:rPr>
            <w:rFonts w:ascii="Arial" w:eastAsia="Times New Roman" w:hAnsi="Arial" w:cs="Arial"/>
            <w:color w:val="1155CC"/>
            <w:sz w:val="24"/>
            <w:szCs w:val="24"/>
            <w:u w:val="single"/>
            <w:lang w:eastAsia="es-UY"/>
          </w:rPr>
          <w:t>https://www.youtube.com/watch?v=MWmsvN_vmG8</w:t>
        </w:r>
      </w:hyperlink>
    </w:p>
    <w:p w:rsidR="00E30FFE" w:rsidRPr="00E30FFE" w:rsidRDefault="00E30FFE" w:rsidP="00E30FFE">
      <w:pPr>
        <w:shd w:val="clear" w:color="auto" w:fill="FFFFFF"/>
        <w:spacing w:after="0" w:line="240" w:lineRule="auto"/>
        <w:rPr>
          <w:rFonts w:ascii="Arial" w:eastAsia="Times New Roman" w:hAnsi="Arial" w:cs="Arial"/>
          <w:color w:val="222222"/>
          <w:sz w:val="19"/>
          <w:szCs w:val="19"/>
          <w:lang w:eastAsia="es-UY"/>
        </w:rPr>
      </w:pPr>
      <w:r w:rsidRPr="00E30FFE">
        <w:rPr>
          <w:rFonts w:ascii="Arial" w:eastAsia="Times New Roman" w:hAnsi="Arial" w:cs="Arial"/>
          <w:color w:val="222222"/>
          <w:sz w:val="19"/>
          <w:szCs w:val="19"/>
          <w:lang w:eastAsia="es-UY"/>
        </w:rPr>
        <w:br/>
      </w:r>
      <w:r w:rsidRPr="00E30FFE">
        <w:rPr>
          <w:rFonts w:ascii="Arial" w:eastAsia="Times New Roman" w:hAnsi="Arial" w:cs="Arial"/>
          <w:color w:val="222222"/>
          <w:sz w:val="19"/>
          <w:szCs w:val="19"/>
          <w:lang w:eastAsia="es-UY"/>
        </w:rPr>
        <w:br/>
        <w:t>--</w:t>
      </w:r>
      <w:r w:rsidRPr="00E30FFE">
        <w:rPr>
          <w:rFonts w:ascii="Arial" w:eastAsia="Times New Roman" w:hAnsi="Arial" w:cs="Arial"/>
          <w:color w:val="222222"/>
          <w:sz w:val="19"/>
          <w:szCs w:val="19"/>
          <w:lang w:eastAsia="es-UY"/>
        </w:rPr>
        <w:br/>
        <w:t>Publicado por Blog de Eduardo para </w:t>
      </w:r>
      <w:hyperlink r:id="rId8" w:tgtFrame="_blank" w:history="1">
        <w:r w:rsidRPr="00E30FFE">
          <w:rPr>
            <w:rFonts w:ascii="Arial" w:eastAsia="Times New Roman" w:hAnsi="Arial" w:cs="Arial"/>
            <w:color w:val="1155CC"/>
            <w:sz w:val="19"/>
            <w:szCs w:val="19"/>
            <w:u w:val="single"/>
            <w:lang w:eastAsia="es-UY"/>
          </w:rPr>
          <w:t>Blog de Eduardo de la Serna</w:t>
        </w:r>
      </w:hyperlink>
      <w:r w:rsidRPr="00E30FFE">
        <w:rPr>
          <w:rFonts w:ascii="Arial" w:eastAsia="Times New Roman" w:hAnsi="Arial" w:cs="Arial"/>
          <w:color w:val="222222"/>
          <w:sz w:val="19"/>
          <w:szCs w:val="19"/>
          <w:lang w:eastAsia="es-UY"/>
        </w:rPr>
        <w:t> el 3/27/2018 06:00:00 a. 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388"/>
    <w:multiLevelType w:val="multilevel"/>
    <w:tmpl w:val="6652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FE"/>
    <w:rsid w:val="002E2F5B"/>
    <w:rsid w:val="00E30F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79181-1318-4D1D-8DA1-701FE9CD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92330">
      <w:bodyDiv w:val="1"/>
      <w:marLeft w:val="0"/>
      <w:marRight w:val="0"/>
      <w:marTop w:val="0"/>
      <w:marBottom w:val="0"/>
      <w:divBdr>
        <w:top w:val="none" w:sz="0" w:space="0" w:color="auto"/>
        <w:left w:val="none" w:sz="0" w:space="0" w:color="auto"/>
        <w:bottom w:val="none" w:sz="0" w:space="0" w:color="auto"/>
        <w:right w:val="none" w:sz="0" w:space="0" w:color="auto"/>
      </w:divBdr>
      <w:divsChild>
        <w:div w:id="228344264">
          <w:marLeft w:val="0"/>
          <w:marRight w:val="225"/>
          <w:marTop w:val="75"/>
          <w:marBottom w:val="0"/>
          <w:divBdr>
            <w:top w:val="none" w:sz="0" w:space="0" w:color="auto"/>
            <w:left w:val="none" w:sz="0" w:space="0" w:color="auto"/>
            <w:bottom w:val="none" w:sz="0" w:space="0" w:color="auto"/>
            <w:right w:val="none" w:sz="0" w:space="0" w:color="auto"/>
          </w:divBdr>
          <w:divsChild>
            <w:div w:id="1304192374">
              <w:marLeft w:val="0"/>
              <w:marRight w:val="0"/>
              <w:marTop w:val="0"/>
              <w:marBottom w:val="0"/>
              <w:divBdr>
                <w:top w:val="none" w:sz="0" w:space="0" w:color="auto"/>
                <w:left w:val="none" w:sz="0" w:space="0" w:color="auto"/>
                <w:bottom w:val="none" w:sz="0" w:space="0" w:color="auto"/>
                <w:right w:val="none" w:sz="0" w:space="0" w:color="auto"/>
              </w:divBdr>
              <w:divsChild>
                <w:div w:id="1037269704">
                  <w:marLeft w:val="0"/>
                  <w:marRight w:val="0"/>
                  <w:marTop w:val="0"/>
                  <w:marBottom w:val="0"/>
                  <w:divBdr>
                    <w:top w:val="none" w:sz="0" w:space="0" w:color="auto"/>
                    <w:left w:val="none" w:sz="0" w:space="0" w:color="auto"/>
                    <w:bottom w:val="none" w:sz="0" w:space="0" w:color="auto"/>
                    <w:right w:val="none" w:sz="0" w:space="0" w:color="auto"/>
                  </w:divBdr>
                </w:div>
                <w:div w:id="78990796">
                  <w:marLeft w:val="0"/>
                  <w:marRight w:val="0"/>
                  <w:marTop w:val="0"/>
                  <w:marBottom w:val="0"/>
                  <w:divBdr>
                    <w:top w:val="none" w:sz="0" w:space="0" w:color="auto"/>
                    <w:left w:val="none" w:sz="0" w:space="0" w:color="auto"/>
                    <w:bottom w:val="none" w:sz="0" w:space="0" w:color="auto"/>
                    <w:right w:val="none" w:sz="0" w:space="0" w:color="auto"/>
                  </w:divBdr>
                </w:div>
                <w:div w:id="942613678">
                  <w:marLeft w:val="0"/>
                  <w:marRight w:val="0"/>
                  <w:marTop w:val="0"/>
                  <w:marBottom w:val="0"/>
                  <w:divBdr>
                    <w:top w:val="none" w:sz="0" w:space="0" w:color="auto"/>
                    <w:left w:val="none" w:sz="0" w:space="0" w:color="auto"/>
                    <w:bottom w:val="none" w:sz="0" w:space="0" w:color="auto"/>
                    <w:right w:val="none" w:sz="0" w:space="0" w:color="auto"/>
                  </w:divBdr>
                </w:div>
                <w:div w:id="1118644491">
                  <w:marLeft w:val="0"/>
                  <w:marRight w:val="0"/>
                  <w:marTop w:val="0"/>
                  <w:marBottom w:val="0"/>
                  <w:divBdr>
                    <w:top w:val="none" w:sz="0" w:space="0" w:color="auto"/>
                    <w:left w:val="none" w:sz="0" w:space="0" w:color="auto"/>
                    <w:bottom w:val="none" w:sz="0" w:space="0" w:color="auto"/>
                    <w:right w:val="none" w:sz="0" w:space="0" w:color="auto"/>
                  </w:divBdr>
                </w:div>
                <w:div w:id="330185534">
                  <w:marLeft w:val="0"/>
                  <w:marRight w:val="0"/>
                  <w:marTop w:val="0"/>
                  <w:marBottom w:val="0"/>
                  <w:divBdr>
                    <w:top w:val="none" w:sz="0" w:space="0" w:color="auto"/>
                    <w:left w:val="none" w:sz="0" w:space="0" w:color="auto"/>
                    <w:bottom w:val="none" w:sz="0" w:space="0" w:color="auto"/>
                    <w:right w:val="none" w:sz="0" w:space="0" w:color="auto"/>
                  </w:divBdr>
                </w:div>
                <w:div w:id="1360356365">
                  <w:marLeft w:val="0"/>
                  <w:marRight w:val="0"/>
                  <w:marTop w:val="0"/>
                  <w:marBottom w:val="0"/>
                  <w:divBdr>
                    <w:top w:val="none" w:sz="0" w:space="0" w:color="auto"/>
                    <w:left w:val="none" w:sz="0" w:space="0" w:color="auto"/>
                    <w:bottom w:val="none" w:sz="0" w:space="0" w:color="auto"/>
                    <w:right w:val="none" w:sz="0" w:space="0" w:color="auto"/>
                  </w:divBdr>
                </w:div>
                <w:div w:id="1853641389">
                  <w:marLeft w:val="0"/>
                  <w:marRight w:val="0"/>
                  <w:marTop w:val="0"/>
                  <w:marBottom w:val="0"/>
                  <w:divBdr>
                    <w:top w:val="none" w:sz="0" w:space="0" w:color="auto"/>
                    <w:left w:val="none" w:sz="0" w:space="0" w:color="auto"/>
                    <w:bottom w:val="none" w:sz="0" w:space="0" w:color="auto"/>
                    <w:right w:val="none" w:sz="0" w:space="0" w:color="auto"/>
                  </w:divBdr>
                </w:div>
                <w:div w:id="1434132527">
                  <w:marLeft w:val="0"/>
                  <w:marRight w:val="0"/>
                  <w:marTop w:val="0"/>
                  <w:marBottom w:val="0"/>
                  <w:divBdr>
                    <w:top w:val="none" w:sz="0" w:space="0" w:color="auto"/>
                    <w:left w:val="none" w:sz="0" w:space="0" w:color="auto"/>
                    <w:bottom w:val="none" w:sz="0" w:space="0" w:color="auto"/>
                    <w:right w:val="none" w:sz="0" w:space="0" w:color="auto"/>
                  </w:divBdr>
                </w:div>
                <w:div w:id="1157455649">
                  <w:marLeft w:val="0"/>
                  <w:marRight w:val="0"/>
                  <w:marTop w:val="0"/>
                  <w:marBottom w:val="0"/>
                  <w:divBdr>
                    <w:top w:val="none" w:sz="0" w:space="0" w:color="auto"/>
                    <w:left w:val="none" w:sz="0" w:space="0" w:color="auto"/>
                    <w:bottom w:val="none" w:sz="0" w:space="0" w:color="auto"/>
                    <w:right w:val="none" w:sz="0" w:space="0" w:color="auto"/>
                  </w:divBdr>
                </w:div>
                <w:div w:id="533082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71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9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8/03/comentario-triduo-pascual.html" TargetMode="External"/><Relationship Id="rId3" Type="http://schemas.openxmlformats.org/officeDocument/2006/relationships/settings" Target="settings.xml"/><Relationship Id="rId7" Type="http://schemas.openxmlformats.org/officeDocument/2006/relationships/hyperlink" Target="https://www.youtube.com/watch?v=MWmsvN_vmG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4.bp.blogspot.com/-pOz54fYnIAk/VRdAnWQge2I/AAAAAAAAEIM/PwC9mb3sxXg/s1600/Triduo+Pascual.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3629</Words>
  <Characters>19960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2018-03-28T11:57:00Z</dcterms:created>
  <dcterms:modified xsi:type="dcterms:W3CDTF">2018-03-28T11:57:00Z</dcterms:modified>
</cp:coreProperties>
</file>