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024" w:rsidRPr="00191024" w:rsidRDefault="00191024" w:rsidP="00191024">
      <w:pPr>
        <w:shd w:val="clear" w:color="auto" w:fill="FFFFFF"/>
        <w:spacing w:after="0" w:line="240" w:lineRule="auto"/>
        <w:jc w:val="center"/>
        <w:rPr>
          <w:rFonts w:ascii="Arial" w:eastAsia="Times New Roman" w:hAnsi="Arial" w:cs="Arial"/>
          <w:color w:val="222222"/>
          <w:sz w:val="36"/>
          <w:szCs w:val="36"/>
          <w:lang w:eastAsia="es-UY"/>
        </w:rPr>
      </w:pPr>
      <w:r w:rsidRPr="00191024">
        <w:rPr>
          <w:rFonts w:ascii="Arial" w:eastAsia="Times New Roman" w:hAnsi="Arial" w:cs="Arial"/>
          <w:b/>
          <w:bCs/>
          <w:color w:val="222222"/>
          <w:sz w:val="36"/>
          <w:szCs w:val="36"/>
          <w:lang w:eastAsia="es-UY"/>
        </w:rPr>
        <w:t>El resucitado es el crucificado</w:t>
      </w:r>
    </w:p>
    <w:p w:rsidR="00191024" w:rsidRPr="00191024" w:rsidRDefault="00191024" w:rsidP="00191024">
      <w:pPr>
        <w:shd w:val="clear" w:color="auto" w:fill="FFFFFF"/>
        <w:spacing w:after="240" w:line="240" w:lineRule="auto"/>
        <w:jc w:val="center"/>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DOMINGO SEGUNDO D</w:t>
      </w:r>
      <w:bookmarkStart w:id="0" w:name="_GoBack"/>
      <w:bookmarkEnd w:id="0"/>
      <w:r w:rsidRPr="00191024">
        <w:rPr>
          <w:rFonts w:ascii="Arial" w:eastAsia="Times New Roman" w:hAnsi="Arial" w:cs="Arial"/>
          <w:color w:val="222222"/>
          <w:sz w:val="24"/>
          <w:szCs w:val="24"/>
          <w:lang w:eastAsia="es-UY"/>
        </w:rPr>
        <w:t>E PASCUA - "B"</w:t>
      </w:r>
    </w:p>
    <w:p w:rsidR="00191024" w:rsidRPr="00191024" w:rsidRDefault="00191024" w:rsidP="00191024">
      <w:pPr>
        <w:shd w:val="clear" w:color="auto" w:fill="FFFFFF"/>
        <w:spacing w:after="0" w:line="240" w:lineRule="auto"/>
        <w:jc w:val="right"/>
        <w:rPr>
          <w:rFonts w:ascii="Arial" w:eastAsia="Times New Roman" w:hAnsi="Arial" w:cs="Arial"/>
          <w:color w:val="222222"/>
          <w:sz w:val="24"/>
          <w:szCs w:val="24"/>
          <w:lang w:eastAsia="es-UY"/>
        </w:rPr>
      </w:pPr>
      <w:r w:rsidRPr="00191024">
        <w:rPr>
          <w:rFonts w:ascii="Arial" w:eastAsia="Times New Roman" w:hAnsi="Arial" w:cs="Arial"/>
          <w:i/>
          <w:iCs/>
          <w:color w:val="222222"/>
          <w:sz w:val="24"/>
          <w:szCs w:val="24"/>
          <w:lang w:eastAsia="es-UY"/>
        </w:rPr>
        <w:t>Eduardo de la Serna</w:t>
      </w:r>
    </w:p>
    <w:p w:rsidR="00191024" w:rsidRPr="00191024" w:rsidRDefault="00191024" w:rsidP="00191024">
      <w:pPr>
        <w:shd w:val="clear" w:color="auto" w:fill="FFFFFF"/>
        <w:spacing w:after="0" w:line="240" w:lineRule="auto"/>
        <w:rPr>
          <w:rFonts w:ascii="Arial" w:eastAsia="Times New Roman" w:hAnsi="Arial" w:cs="Arial"/>
          <w:color w:val="222222"/>
          <w:sz w:val="19"/>
          <w:szCs w:val="19"/>
          <w:lang w:eastAsia="es-UY"/>
        </w:rPr>
      </w:pPr>
    </w:p>
    <w:p w:rsidR="00191024" w:rsidRPr="00191024" w:rsidRDefault="00191024" w:rsidP="00191024">
      <w:pPr>
        <w:shd w:val="clear" w:color="auto" w:fill="FFFFFF"/>
        <w:spacing w:after="0" w:line="240" w:lineRule="auto"/>
        <w:jc w:val="center"/>
        <w:rPr>
          <w:rFonts w:ascii="Arial" w:eastAsia="Times New Roman" w:hAnsi="Arial" w:cs="Arial"/>
          <w:color w:val="222222"/>
          <w:sz w:val="19"/>
          <w:szCs w:val="19"/>
          <w:lang w:eastAsia="es-UY"/>
        </w:rPr>
      </w:pPr>
      <w:r w:rsidRPr="00191024">
        <w:rPr>
          <w:rFonts w:ascii="Arial" w:eastAsia="Times New Roman" w:hAnsi="Arial" w:cs="Arial"/>
          <w:noProof/>
          <w:color w:val="1155CC"/>
          <w:sz w:val="19"/>
          <w:szCs w:val="19"/>
          <w:lang w:eastAsia="es-UY"/>
        </w:rPr>
        <w:drawing>
          <wp:inline distT="0" distB="0" distL="0" distR="0" wp14:anchorId="30303BCD" wp14:editId="7372E5C1">
            <wp:extent cx="2762250" cy="3048000"/>
            <wp:effectExtent l="0" t="0" r="0" b="0"/>
            <wp:docPr id="2" name="Imagen 2" descr="https://4.bp.blogspot.com/-HcEiN3w4f_I/VRdBPxNyJbI/AAAAAAAAEIU/o9TL3y3MQUM/s1600/Pascua%2B2B.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HcEiN3w4f_I/VRdBPxNyJbI/AAAAAAAAEIU/o9TL3y3MQUM/s1600/Pascua%2B2B.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3048000"/>
                    </a:xfrm>
                    <a:prstGeom prst="rect">
                      <a:avLst/>
                    </a:prstGeom>
                    <a:noFill/>
                    <a:ln>
                      <a:noFill/>
                    </a:ln>
                  </pic:spPr>
                </pic:pic>
              </a:graphicData>
            </a:graphic>
          </wp:inline>
        </w:drawing>
      </w:r>
    </w:p>
    <w:p w:rsidR="00191024" w:rsidRPr="00191024" w:rsidRDefault="00191024" w:rsidP="00191024">
      <w:pPr>
        <w:shd w:val="clear" w:color="auto" w:fill="FFFFFF"/>
        <w:spacing w:after="0" w:line="240" w:lineRule="auto"/>
        <w:rPr>
          <w:rFonts w:ascii="Arial" w:eastAsia="Times New Roman" w:hAnsi="Arial" w:cs="Arial"/>
          <w:color w:val="222222"/>
          <w:sz w:val="24"/>
          <w:szCs w:val="24"/>
          <w:lang w:eastAsia="es-UY"/>
        </w:rPr>
      </w:pPr>
      <w:r w:rsidRPr="00191024">
        <w:rPr>
          <w:rFonts w:ascii="Arial" w:eastAsia="Times New Roman" w:hAnsi="Arial" w:cs="Arial"/>
          <w:color w:val="222222"/>
          <w:sz w:val="19"/>
          <w:szCs w:val="19"/>
          <w:lang w:eastAsia="es-UY"/>
        </w:rPr>
        <w:br/>
      </w:r>
      <w:r w:rsidRPr="00191024">
        <w:rPr>
          <w:rFonts w:ascii="Arial" w:eastAsia="Times New Roman" w:hAnsi="Arial" w:cs="Arial"/>
          <w:color w:val="222222"/>
          <w:sz w:val="24"/>
          <w:szCs w:val="24"/>
          <w:lang w:eastAsia="es-UY"/>
        </w:rPr>
        <w:br/>
      </w:r>
      <w:r w:rsidRPr="00191024">
        <w:rPr>
          <w:rFonts w:ascii="Arial" w:eastAsia="Times New Roman" w:hAnsi="Arial" w:cs="Arial"/>
          <w:b/>
          <w:bCs/>
          <w:color w:val="222222"/>
          <w:sz w:val="24"/>
          <w:szCs w:val="24"/>
          <w:lang w:eastAsia="es-UY"/>
        </w:rPr>
        <w:t>Lectura de los Hechos de los Apóstoles</w:t>
      </w:r>
      <w:r w:rsidRPr="00191024">
        <w:rPr>
          <w:rFonts w:ascii="Arial" w:eastAsia="Times New Roman" w:hAnsi="Arial" w:cs="Arial"/>
          <w:color w:val="222222"/>
          <w:sz w:val="24"/>
          <w:szCs w:val="24"/>
          <w:lang w:eastAsia="es-UY"/>
        </w:rPr>
        <w:t>   4, 32-35</w:t>
      </w:r>
      <w:r w:rsidRPr="00191024">
        <w:rPr>
          <w:rFonts w:ascii="Arial" w:eastAsia="Times New Roman" w:hAnsi="Arial" w:cs="Arial"/>
          <w:color w:val="222222"/>
          <w:sz w:val="24"/>
          <w:szCs w:val="24"/>
          <w:lang w:eastAsia="es-UY"/>
        </w:rPr>
        <w:br/>
      </w:r>
      <w:r w:rsidRPr="00191024">
        <w:rPr>
          <w:rFonts w:ascii="Arial" w:eastAsia="Times New Roman" w:hAnsi="Arial" w:cs="Arial"/>
          <w:color w:val="222222"/>
          <w:sz w:val="24"/>
          <w:szCs w:val="24"/>
          <w:lang w:eastAsia="es-UY"/>
        </w:rPr>
        <w:br/>
      </w:r>
      <w:r w:rsidRPr="00191024">
        <w:rPr>
          <w:rFonts w:ascii="Arial" w:eastAsia="Times New Roman" w:hAnsi="Arial" w:cs="Arial"/>
          <w:i/>
          <w:iCs/>
          <w:color w:val="222222"/>
          <w:sz w:val="24"/>
          <w:szCs w:val="24"/>
          <w:lang w:eastAsia="es-UY"/>
        </w:rPr>
        <w:t>Resumen: Lucas presenta una comunidad ideal para indicar el camino de hermandad y amistad que los creyentes deben vivir entre sí.</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br/>
        <w:t>El libro de los Hechos de los Apóstoles presenta sumariamente el crecimiento de la palabra de Dios histórica y geográficamente. Comienza por la palabra “en Jerusalén” para llegar finalmente a Roma (con Pablo). En 2,42-47 lo había ya presentado esquemáticamente como cuatro aspectos: enseñanza, comunión, fracción (del pan) y oración. El texto de hoy retoma la misma idea señalando particularmente el aspecto “comunión” [</w:t>
      </w:r>
      <w:r w:rsidRPr="00191024">
        <w:rPr>
          <w:rFonts w:ascii="Arial" w:eastAsia="Times New Roman" w:hAnsi="Arial" w:cs="Arial"/>
          <w:i/>
          <w:iCs/>
          <w:color w:val="222222"/>
          <w:sz w:val="24"/>
          <w:szCs w:val="24"/>
          <w:lang w:eastAsia="es-UY"/>
        </w:rPr>
        <w:t>koinônía</w:t>
      </w:r>
      <w:r w:rsidRPr="00191024">
        <w:rPr>
          <w:rFonts w:ascii="Arial" w:eastAsia="Times New Roman" w:hAnsi="Arial" w:cs="Arial"/>
          <w:color w:val="222222"/>
          <w:sz w:val="24"/>
          <w:szCs w:val="24"/>
          <w:lang w:eastAsia="es-UY"/>
        </w:rPr>
        <w:t>] ya que será lo que a continuación pretende destacar: Bernabé es ejemplar en esto (4,36-37) mientras que Ananías y Zafira son todo lo contrario (5,1-11).</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Lo primero que se destaca es que “</w:t>
      </w:r>
      <w:r w:rsidRPr="00191024">
        <w:rPr>
          <w:rFonts w:ascii="Arial" w:eastAsia="Times New Roman" w:hAnsi="Arial" w:cs="Arial"/>
          <w:i/>
          <w:iCs/>
          <w:color w:val="222222"/>
          <w:sz w:val="24"/>
          <w:szCs w:val="24"/>
          <w:lang w:eastAsia="es-UY"/>
        </w:rPr>
        <w:t>la multitud</w:t>
      </w:r>
      <w:r w:rsidRPr="00191024">
        <w:rPr>
          <w:rFonts w:ascii="Arial" w:eastAsia="Times New Roman" w:hAnsi="Arial" w:cs="Arial"/>
          <w:color w:val="222222"/>
          <w:sz w:val="24"/>
          <w:szCs w:val="24"/>
          <w:lang w:eastAsia="es-UY"/>
        </w:rPr>
        <w:t> [plêthous, palabra habitual en Lucas-Hechos y que designa la comunidad] </w:t>
      </w:r>
      <w:r w:rsidRPr="00191024">
        <w:rPr>
          <w:rFonts w:ascii="Arial" w:eastAsia="Times New Roman" w:hAnsi="Arial" w:cs="Arial"/>
          <w:i/>
          <w:iCs/>
          <w:color w:val="222222"/>
          <w:sz w:val="24"/>
          <w:szCs w:val="24"/>
          <w:lang w:eastAsia="es-UY"/>
        </w:rPr>
        <w:t>de los creyentes</w:t>
      </w:r>
      <w:r w:rsidRPr="00191024">
        <w:rPr>
          <w:rFonts w:ascii="Arial" w:eastAsia="Times New Roman" w:hAnsi="Arial" w:cs="Arial"/>
          <w:color w:val="222222"/>
          <w:sz w:val="24"/>
          <w:szCs w:val="24"/>
          <w:lang w:eastAsia="es-UY"/>
        </w:rPr>
        <w:t>” «</w:t>
      </w:r>
      <w:r w:rsidRPr="00191024">
        <w:rPr>
          <w:rFonts w:ascii="Arial" w:eastAsia="Times New Roman" w:hAnsi="Arial" w:cs="Arial"/>
          <w:i/>
          <w:iCs/>
          <w:color w:val="222222"/>
          <w:sz w:val="24"/>
          <w:szCs w:val="24"/>
          <w:lang w:eastAsia="es-UY"/>
        </w:rPr>
        <w:t>tenía un solo corazón y una sola alma</w:t>
      </w:r>
      <w:r w:rsidRPr="00191024">
        <w:rPr>
          <w:rFonts w:ascii="Arial" w:eastAsia="Times New Roman" w:hAnsi="Arial" w:cs="Arial"/>
          <w:color w:val="222222"/>
          <w:sz w:val="24"/>
          <w:szCs w:val="24"/>
          <w:lang w:eastAsia="es-UY"/>
        </w:rPr>
        <w:t>», «</w:t>
      </w:r>
      <w:r w:rsidRPr="00191024">
        <w:rPr>
          <w:rFonts w:ascii="Arial" w:eastAsia="Times New Roman" w:hAnsi="Arial" w:cs="Arial"/>
          <w:i/>
          <w:iCs/>
          <w:color w:val="222222"/>
          <w:sz w:val="24"/>
          <w:szCs w:val="24"/>
          <w:lang w:eastAsia="es-UY"/>
        </w:rPr>
        <w:t>nadie llamaba suyos a sus bienes</w:t>
      </w:r>
      <w:r w:rsidRPr="00191024">
        <w:rPr>
          <w:rFonts w:ascii="Arial" w:eastAsia="Times New Roman" w:hAnsi="Arial" w:cs="Arial"/>
          <w:color w:val="222222"/>
          <w:sz w:val="24"/>
          <w:szCs w:val="24"/>
          <w:lang w:eastAsia="es-UY"/>
        </w:rPr>
        <w:t>» y «</w:t>
      </w:r>
      <w:r w:rsidRPr="00191024">
        <w:rPr>
          <w:rFonts w:ascii="Arial" w:eastAsia="Times New Roman" w:hAnsi="Arial" w:cs="Arial"/>
          <w:i/>
          <w:iCs/>
          <w:color w:val="222222"/>
          <w:sz w:val="24"/>
          <w:szCs w:val="24"/>
          <w:lang w:eastAsia="es-UY"/>
        </w:rPr>
        <w:t>todo era común [koiná]</w:t>
      </w:r>
      <w:r w:rsidRPr="00191024">
        <w:rPr>
          <w:rFonts w:ascii="Arial" w:eastAsia="Times New Roman" w:hAnsi="Arial" w:cs="Arial"/>
          <w:color w:val="222222"/>
          <w:sz w:val="24"/>
          <w:szCs w:val="24"/>
          <w:lang w:eastAsia="es-UY"/>
        </w:rPr>
        <w:t>». La frase, común en los LXX y el rabinismo es usada entre los filósofos para referir a la amistad:</w:t>
      </w:r>
    </w:p>
    <w:p w:rsidR="00191024" w:rsidRPr="00191024" w:rsidRDefault="00191024" w:rsidP="00191024">
      <w:pPr>
        <w:shd w:val="clear" w:color="auto" w:fill="FFFFFF"/>
        <w:spacing w:after="0" w:line="240" w:lineRule="auto"/>
        <w:rPr>
          <w:rFonts w:ascii="Arial" w:eastAsia="Times New Roman" w:hAnsi="Arial" w:cs="Arial"/>
          <w:color w:val="222222"/>
          <w:sz w:val="24"/>
          <w:szCs w:val="24"/>
          <w:lang w:eastAsia="es-UY"/>
        </w:rPr>
      </w:pPr>
    </w:p>
    <w:p w:rsidR="00191024" w:rsidRPr="00191024" w:rsidRDefault="00191024" w:rsidP="00191024">
      <w:pPr>
        <w:shd w:val="clear" w:color="auto" w:fill="FFFFFF"/>
        <w:spacing w:after="10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“la fuerza de la amistad está en esto, en que por así decirlo, se haga un solo espíritu de muchos” (Cicerón, De Amicitia 92)</w:t>
      </w:r>
    </w:p>
    <w:p w:rsidR="00191024" w:rsidRPr="00191024" w:rsidRDefault="00191024" w:rsidP="00191024">
      <w:pPr>
        <w:shd w:val="clear" w:color="auto" w:fill="FFFFFF"/>
        <w:spacing w:after="10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Aristóteles afirmaba: “¿Qué es la amistad? Su respuesta fue, "Una sola alma habitando en dos cuerpos” (Diógenes Laercio, Vida de los filósofos Ilustres, 5.1.20).</w:t>
      </w:r>
    </w:p>
    <w:p w:rsidR="00191024" w:rsidRPr="00191024" w:rsidRDefault="00191024" w:rsidP="00191024">
      <w:pPr>
        <w:shd w:val="clear" w:color="auto" w:fill="FFFFFF"/>
        <w:spacing w:after="10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lastRenderedPageBreak/>
        <w:t>“… ya está dicho que de este amor han procedido todas las demás cosas que pertenecen a la amistad que tenemos con los otros. Con lo cual concuerdan también los vulgares proverbios, como son: un alma y un cuerpo; entre los amigos todo es común; la amistad es igualdad…” (Aristóteles, Ética a Nicómaco IX,8)</w:t>
      </w:r>
    </w:p>
    <w:p w:rsidR="00191024" w:rsidRPr="00191024" w:rsidRDefault="00191024" w:rsidP="00191024">
      <w:pPr>
        <w:shd w:val="clear" w:color="auto" w:fill="FFFFFF"/>
        <w:spacing w:after="0" w:line="240" w:lineRule="auto"/>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Lo que se predica del Israel ideal y la “fraternidad” (Dt 15) y de la comunidad helénica ideal y la “amistad” se predica aquí de “la multitud de los creyentes”.</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Los “</w:t>
      </w:r>
      <w:r w:rsidRPr="00191024">
        <w:rPr>
          <w:rFonts w:ascii="Arial" w:eastAsia="Times New Roman" w:hAnsi="Arial" w:cs="Arial"/>
          <w:i/>
          <w:iCs/>
          <w:color w:val="222222"/>
          <w:sz w:val="24"/>
          <w:szCs w:val="24"/>
          <w:lang w:eastAsia="es-UY"/>
        </w:rPr>
        <w:t>apóstoles</w:t>
      </w:r>
      <w:r w:rsidRPr="00191024">
        <w:rPr>
          <w:rFonts w:ascii="Arial" w:eastAsia="Times New Roman" w:hAnsi="Arial" w:cs="Arial"/>
          <w:color w:val="222222"/>
          <w:sz w:val="24"/>
          <w:szCs w:val="24"/>
          <w:lang w:eastAsia="es-UY"/>
        </w:rPr>
        <w:t>” daban “</w:t>
      </w:r>
      <w:r w:rsidRPr="00191024">
        <w:rPr>
          <w:rFonts w:ascii="Arial" w:eastAsia="Times New Roman" w:hAnsi="Arial" w:cs="Arial"/>
          <w:i/>
          <w:iCs/>
          <w:color w:val="222222"/>
          <w:sz w:val="24"/>
          <w:szCs w:val="24"/>
          <w:lang w:eastAsia="es-UY"/>
        </w:rPr>
        <w:t>testimonio</w:t>
      </w:r>
      <w:r w:rsidRPr="00191024">
        <w:rPr>
          <w:rFonts w:ascii="Arial" w:eastAsia="Times New Roman" w:hAnsi="Arial" w:cs="Arial"/>
          <w:color w:val="222222"/>
          <w:sz w:val="24"/>
          <w:szCs w:val="24"/>
          <w:lang w:eastAsia="es-UY"/>
        </w:rPr>
        <w:t>” con “</w:t>
      </w:r>
      <w:r w:rsidRPr="00191024">
        <w:rPr>
          <w:rFonts w:ascii="Arial" w:eastAsia="Times New Roman" w:hAnsi="Arial" w:cs="Arial"/>
          <w:i/>
          <w:iCs/>
          <w:color w:val="222222"/>
          <w:sz w:val="24"/>
          <w:szCs w:val="24"/>
          <w:lang w:eastAsia="es-UY"/>
        </w:rPr>
        <w:t>poder</w:t>
      </w:r>
      <w:r w:rsidRPr="00191024">
        <w:rPr>
          <w:rFonts w:ascii="Arial" w:eastAsia="Times New Roman" w:hAnsi="Arial" w:cs="Arial"/>
          <w:color w:val="222222"/>
          <w:sz w:val="24"/>
          <w:szCs w:val="24"/>
          <w:lang w:eastAsia="es-UY"/>
        </w:rPr>
        <w:t>” (</w:t>
      </w:r>
      <w:r w:rsidRPr="00191024">
        <w:rPr>
          <w:rFonts w:ascii="Arial" w:eastAsia="Times New Roman" w:hAnsi="Arial" w:cs="Arial"/>
          <w:i/>
          <w:iCs/>
          <w:color w:val="222222"/>
          <w:sz w:val="24"/>
          <w:szCs w:val="24"/>
          <w:lang w:eastAsia="es-UY"/>
        </w:rPr>
        <w:t>dynamis</w:t>
      </w:r>
      <w:r w:rsidRPr="00191024">
        <w:rPr>
          <w:rFonts w:ascii="Arial" w:eastAsia="Times New Roman" w:hAnsi="Arial" w:cs="Arial"/>
          <w:color w:val="222222"/>
          <w:sz w:val="24"/>
          <w:szCs w:val="24"/>
          <w:lang w:eastAsia="es-UY"/>
        </w:rPr>
        <w:t>), algo que caracteriza su ministerio ya que recibieron “el poder (</w:t>
      </w:r>
      <w:r w:rsidRPr="00191024">
        <w:rPr>
          <w:rFonts w:ascii="Arial" w:eastAsia="Times New Roman" w:hAnsi="Arial" w:cs="Arial"/>
          <w:i/>
          <w:iCs/>
          <w:color w:val="222222"/>
          <w:sz w:val="24"/>
          <w:szCs w:val="24"/>
          <w:lang w:eastAsia="es-UY"/>
        </w:rPr>
        <w:t>dynamis</w:t>
      </w:r>
      <w:r w:rsidRPr="00191024">
        <w:rPr>
          <w:rFonts w:ascii="Arial" w:eastAsia="Times New Roman" w:hAnsi="Arial" w:cs="Arial"/>
          <w:color w:val="222222"/>
          <w:sz w:val="24"/>
          <w:szCs w:val="24"/>
          <w:lang w:eastAsia="es-UY"/>
        </w:rPr>
        <w:t>) del Espíritu… y serán </w:t>
      </w:r>
      <w:r w:rsidRPr="00191024">
        <w:rPr>
          <w:rFonts w:ascii="Arial" w:eastAsia="Times New Roman" w:hAnsi="Arial" w:cs="Arial"/>
          <w:i/>
          <w:iCs/>
          <w:color w:val="222222"/>
          <w:sz w:val="24"/>
          <w:szCs w:val="24"/>
          <w:lang w:eastAsia="es-UY"/>
        </w:rPr>
        <w:t>testigos</w:t>
      </w:r>
      <w:r w:rsidRPr="00191024">
        <w:rPr>
          <w:rFonts w:ascii="Arial" w:eastAsia="Times New Roman" w:hAnsi="Arial" w:cs="Arial"/>
          <w:color w:val="222222"/>
          <w:sz w:val="24"/>
          <w:szCs w:val="24"/>
          <w:lang w:eastAsia="es-UY"/>
        </w:rPr>
        <w:t> en Jerusalén, en toda Judea y Samaría y hasta los confines de la tierra” (1,8). Las manifestaciones de “poder, prodigios y signos” (2,22) son señal de la vocación profética de la comunidad (cf. Dt 34,11).</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El término “</w:t>
      </w:r>
      <w:r w:rsidRPr="00191024">
        <w:rPr>
          <w:rFonts w:ascii="Arial" w:eastAsia="Times New Roman" w:hAnsi="Arial" w:cs="Arial"/>
          <w:i/>
          <w:iCs/>
          <w:color w:val="222222"/>
          <w:sz w:val="24"/>
          <w:szCs w:val="24"/>
          <w:lang w:eastAsia="es-UY"/>
        </w:rPr>
        <w:t>necesitado</w:t>
      </w:r>
      <w:r w:rsidRPr="00191024">
        <w:rPr>
          <w:rFonts w:ascii="Arial" w:eastAsia="Times New Roman" w:hAnsi="Arial" w:cs="Arial"/>
          <w:color w:val="222222"/>
          <w:sz w:val="24"/>
          <w:szCs w:val="24"/>
          <w:lang w:eastAsia="es-UY"/>
        </w:rPr>
        <w:t>” (</w:t>
      </w:r>
      <w:r w:rsidRPr="00191024">
        <w:rPr>
          <w:rFonts w:ascii="Arial" w:eastAsia="Times New Roman" w:hAnsi="Arial" w:cs="Arial"/>
          <w:i/>
          <w:iCs/>
          <w:color w:val="222222"/>
          <w:sz w:val="24"/>
          <w:szCs w:val="24"/>
          <w:lang w:eastAsia="es-UY"/>
        </w:rPr>
        <w:t>endeês</w:t>
      </w:r>
      <w:r w:rsidRPr="00191024">
        <w:rPr>
          <w:rFonts w:ascii="Arial" w:eastAsia="Times New Roman" w:hAnsi="Arial" w:cs="Arial"/>
          <w:color w:val="222222"/>
          <w:sz w:val="24"/>
          <w:szCs w:val="24"/>
          <w:lang w:eastAsia="es-UY"/>
        </w:rPr>
        <w:t>) no es muy utilizado (x25 en toda la Biblia y sólo aquí en el NT) es usado en el importante texto de Dt 15 para aludir a la responsabilidad de los miembros de la comunidad con los “necesitados” ya que no debe haberlos en el pueblo de Dios a causa de la solidaridad. Es lo que aquí se consigna, la solidaridad fraterna, provoca que no haya “necesitados” en la “multitud de los creyentes”. La clave está en el reparto (diadídômi) “según la necesidad (jreía)”. El reparto entre los pobres (ptôjois) es lo que Jesús pretende de los discípulos (Lc 18,22) y lo que se concreta en la comunidad.</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240" w:line="240" w:lineRule="auto"/>
        <w:rPr>
          <w:rFonts w:ascii="Arial" w:eastAsia="Times New Roman" w:hAnsi="Arial" w:cs="Arial"/>
          <w:color w:val="222222"/>
          <w:sz w:val="24"/>
          <w:szCs w:val="24"/>
          <w:lang w:eastAsia="es-UY"/>
        </w:rPr>
      </w:pPr>
      <w:r w:rsidRPr="00191024">
        <w:rPr>
          <w:rFonts w:ascii="Arial" w:eastAsia="Times New Roman" w:hAnsi="Arial" w:cs="Arial"/>
          <w:b/>
          <w:bCs/>
          <w:color w:val="222222"/>
          <w:sz w:val="24"/>
          <w:szCs w:val="24"/>
          <w:lang w:eastAsia="es-UY"/>
        </w:rPr>
        <w:t>Lectura de la primera carta de san Juan</w:t>
      </w:r>
      <w:r w:rsidRPr="00191024">
        <w:rPr>
          <w:rFonts w:ascii="Arial" w:eastAsia="Times New Roman" w:hAnsi="Arial" w:cs="Arial"/>
          <w:color w:val="222222"/>
          <w:sz w:val="24"/>
          <w:szCs w:val="24"/>
          <w:lang w:eastAsia="es-UY"/>
        </w:rPr>
        <w:t>   5, 1-6</w:t>
      </w:r>
      <w:r w:rsidRPr="00191024">
        <w:rPr>
          <w:rFonts w:ascii="Arial" w:eastAsia="Times New Roman" w:hAnsi="Arial" w:cs="Arial"/>
          <w:color w:val="222222"/>
          <w:sz w:val="24"/>
          <w:szCs w:val="24"/>
          <w:lang w:eastAsia="es-UY"/>
        </w:rPr>
        <w:br/>
      </w:r>
      <w:r w:rsidRPr="00191024">
        <w:rPr>
          <w:rFonts w:ascii="Arial" w:eastAsia="Times New Roman" w:hAnsi="Arial" w:cs="Arial"/>
          <w:color w:val="222222"/>
          <w:sz w:val="24"/>
          <w:szCs w:val="24"/>
          <w:lang w:eastAsia="es-UY"/>
        </w:rPr>
        <w:br/>
      </w:r>
      <w:r w:rsidRPr="00191024">
        <w:rPr>
          <w:rFonts w:ascii="Arial" w:eastAsia="Times New Roman" w:hAnsi="Arial" w:cs="Arial"/>
          <w:i/>
          <w:iCs/>
          <w:color w:val="222222"/>
          <w:sz w:val="24"/>
          <w:szCs w:val="24"/>
          <w:lang w:eastAsia="es-UY"/>
        </w:rPr>
        <w:t>Resumen: la fe y el amor nos unen plenamente a Dios como hijos sujos. Y nos hacen vencer sobre el mundo, el ambiente hostil a Dios y sus proyectos. La muerte de Jesús y su resurrección nos llevan a creer, de eso son testigos los sacramentos.</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Una serie de elementos marcan el texto litúrgico. En realidad hay muchos temas que pertenecen a la teología de la carta, pero que no hacen – expresamente – al sentido de su elección para esta fiesta litúrgica. Sin duda la referencia al “</w:t>
      </w:r>
      <w:r w:rsidRPr="00191024">
        <w:rPr>
          <w:rFonts w:ascii="Arial" w:eastAsia="Times New Roman" w:hAnsi="Arial" w:cs="Arial"/>
          <w:i/>
          <w:iCs/>
          <w:color w:val="222222"/>
          <w:sz w:val="24"/>
          <w:szCs w:val="24"/>
          <w:lang w:eastAsia="es-UY"/>
        </w:rPr>
        <w:t>agua</w:t>
      </w:r>
      <w:r w:rsidRPr="00191024">
        <w:rPr>
          <w:rFonts w:ascii="Arial" w:eastAsia="Times New Roman" w:hAnsi="Arial" w:cs="Arial"/>
          <w:color w:val="222222"/>
          <w:sz w:val="24"/>
          <w:szCs w:val="24"/>
          <w:lang w:eastAsia="es-UY"/>
        </w:rPr>
        <w:t>” y al “</w:t>
      </w:r>
      <w:r w:rsidRPr="00191024">
        <w:rPr>
          <w:rFonts w:ascii="Arial" w:eastAsia="Times New Roman" w:hAnsi="Arial" w:cs="Arial"/>
          <w:i/>
          <w:iCs/>
          <w:color w:val="222222"/>
          <w:sz w:val="24"/>
          <w:szCs w:val="24"/>
          <w:lang w:eastAsia="es-UY"/>
        </w:rPr>
        <w:t>espíritu</w:t>
      </w:r>
      <w:r w:rsidRPr="00191024">
        <w:rPr>
          <w:rFonts w:ascii="Arial" w:eastAsia="Times New Roman" w:hAnsi="Arial" w:cs="Arial"/>
          <w:color w:val="222222"/>
          <w:sz w:val="24"/>
          <w:szCs w:val="24"/>
          <w:lang w:eastAsia="es-UY"/>
        </w:rPr>
        <w:t>” son las razones que deben destacarse. </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En la primera parte se pone “</w:t>
      </w:r>
      <w:r w:rsidRPr="00191024">
        <w:rPr>
          <w:rFonts w:ascii="Arial" w:eastAsia="Times New Roman" w:hAnsi="Arial" w:cs="Arial"/>
          <w:i/>
          <w:iCs/>
          <w:color w:val="222222"/>
          <w:sz w:val="24"/>
          <w:szCs w:val="24"/>
          <w:lang w:eastAsia="es-UY"/>
        </w:rPr>
        <w:t>amar</w:t>
      </w:r>
      <w:r w:rsidRPr="00191024">
        <w:rPr>
          <w:rFonts w:ascii="Arial" w:eastAsia="Times New Roman" w:hAnsi="Arial" w:cs="Arial"/>
          <w:color w:val="222222"/>
          <w:sz w:val="24"/>
          <w:szCs w:val="24"/>
          <w:lang w:eastAsia="es-UY"/>
        </w:rPr>
        <w:t>” y </w:t>
      </w:r>
      <w:r w:rsidRPr="00191024">
        <w:rPr>
          <w:rFonts w:ascii="Arial" w:eastAsia="Times New Roman" w:hAnsi="Arial" w:cs="Arial"/>
          <w:i/>
          <w:iCs/>
          <w:color w:val="222222"/>
          <w:sz w:val="24"/>
          <w:szCs w:val="24"/>
          <w:lang w:eastAsia="es-UY"/>
        </w:rPr>
        <w:t>creer</w:t>
      </w:r>
      <w:r w:rsidRPr="00191024">
        <w:rPr>
          <w:rFonts w:ascii="Arial" w:eastAsia="Times New Roman" w:hAnsi="Arial" w:cs="Arial"/>
          <w:color w:val="222222"/>
          <w:sz w:val="24"/>
          <w:szCs w:val="24"/>
          <w:lang w:eastAsia="es-UY"/>
        </w:rPr>
        <w:t>” en paralelo ya que si en 4,7 había dicho que “todo el que ama ha nacido de Dios”, ahora señala que “</w:t>
      </w:r>
      <w:r w:rsidRPr="00191024">
        <w:rPr>
          <w:rFonts w:ascii="Arial" w:eastAsia="Times New Roman" w:hAnsi="Arial" w:cs="Arial"/>
          <w:i/>
          <w:iCs/>
          <w:color w:val="222222"/>
          <w:sz w:val="24"/>
          <w:szCs w:val="24"/>
          <w:lang w:eastAsia="es-UY"/>
        </w:rPr>
        <w:t>todo el que cree… ha nacido de Dios</w:t>
      </w:r>
      <w:r w:rsidRPr="00191024">
        <w:rPr>
          <w:rFonts w:ascii="Arial" w:eastAsia="Times New Roman" w:hAnsi="Arial" w:cs="Arial"/>
          <w:color w:val="222222"/>
          <w:sz w:val="24"/>
          <w:szCs w:val="24"/>
          <w:lang w:eastAsia="es-UY"/>
        </w:rPr>
        <w:t>” (5,1). Lo cual ahonda al señalar a continuación que “</w:t>
      </w:r>
      <w:r w:rsidRPr="00191024">
        <w:rPr>
          <w:rFonts w:ascii="Arial" w:eastAsia="Times New Roman" w:hAnsi="Arial" w:cs="Arial"/>
          <w:i/>
          <w:iCs/>
          <w:color w:val="222222"/>
          <w:sz w:val="24"/>
          <w:szCs w:val="24"/>
          <w:lang w:eastAsia="es-UY"/>
        </w:rPr>
        <w:t>todo el que ama al que da el ser</w:t>
      </w:r>
      <w:r w:rsidRPr="00191024">
        <w:rPr>
          <w:rFonts w:ascii="Arial" w:eastAsia="Times New Roman" w:hAnsi="Arial" w:cs="Arial"/>
          <w:color w:val="222222"/>
          <w:sz w:val="24"/>
          <w:szCs w:val="24"/>
          <w:lang w:eastAsia="es-UY"/>
        </w:rPr>
        <w:t> (= Dios) </w:t>
      </w:r>
      <w:r w:rsidRPr="00191024">
        <w:rPr>
          <w:rFonts w:ascii="Arial" w:eastAsia="Times New Roman" w:hAnsi="Arial" w:cs="Arial"/>
          <w:i/>
          <w:iCs/>
          <w:color w:val="222222"/>
          <w:sz w:val="24"/>
          <w:szCs w:val="24"/>
          <w:lang w:eastAsia="es-UY"/>
        </w:rPr>
        <w:t>amará también al que ha nacido de él</w:t>
      </w:r>
      <w:r w:rsidRPr="00191024">
        <w:rPr>
          <w:rFonts w:ascii="Arial" w:eastAsia="Times New Roman" w:hAnsi="Arial" w:cs="Arial"/>
          <w:color w:val="222222"/>
          <w:sz w:val="24"/>
          <w:szCs w:val="24"/>
          <w:lang w:eastAsia="es-UY"/>
        </w:rPr>
        <w:t> (= ¿Cristo?, ¿los creyentes?, ¿ambos?)”. A continuación destaca que el que cree “</w:t>
      </w:r>
      <w:r w:rsidRPr="00191024">
        <w:rPr>
          <w:rFonts w:ascii="Arial" w:eastAsia="Times New Roman" w:hAnsi="Arial" w:cs="Arial"/>
          <w:i/>
          <w:iCs/>
          <w:color w:val="222222"/>
          <w:sz w:val="24"/>
          <w:szCs w:val="24"/>
          <w:lang w:eastAsia="es-UY"/>
        </w:rPr>
        <w:t>vence al mundo</w:t>
      </w:r>
      <w:r w:rsidRPr="00191024">
        <w:rPr>
          <w:rFonts w:ascii="Arial" w:eastAsia="Times New Roman" w:hAnsi="Arial" w:cs="Arial"/>
          <w:color w:val="222222"/>
          <w:sz w:val="24"/>
          <w:szCs w:val="24"/>
          <w:lang w:eastAsia="es-UY"/>
        </w:rPr>
        <w:t>” (v.4). No hay que olvidar que en la literatura joánica, el “</w:t>
      </w:r>
      <w:r w:rsidRPr="00191024">
        <w:rPr>
          <w:rFonts w:ascii="Arial" w:eastAsia="Times New Roman" w:hAnsi="Arial" w:cs="Arial"/>
          <w:i/>
          <w:iCs/>
          <w:color w:val="222222"/>
          <w:sz w:val="24"/>
          <w:szCs w:val="24"/>
          <w:lang w:eastAsia="es-UY"/>
        </w:rPr>
        <w:t>mundo</w:t>
      </w:r>
      <w:r w:rsidRPr="00191024">
        <w:rPr>
          <w:rFonts w:ascii="Arial" w:eastAsia="Times New Roman" w:hAnsi="Arial" w:cs="Arial"/>
          <w:color w:val="222222"/>
          <w:sz w:val="24"/>
          <w:szCs w:val="24"/>
          <w:lang w:eastAsia="es-UY"/>
        </w:rPr>
        <w:t>” no se refiere a la “tierra”, en contraste con “el cielo”, sino al ambiente adversario de Jesús y su comunidad [por eso el diablo es el “príncipe de este mundo” (Jn 12,31; 14,30; 16,11), o el reino de Jesús “no es de este mundo” (18,36); el “reino de Dios” – en el aquí y ahora – se vive en la fe y el amor]. Ya Jesús ha “vencido al mundo” (Jn 16,33), y es la fe-amor la que lo vence. </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lastRenderedPageBreak/>
        <w:t>Decir que “</w:t>
      </w:r>
      <w:r w:rsidRPr="00191024">
        <w:rPr>
          <w:rFonts w:ascii="Arial" w:eastAsia="Times New Roman" w:hAnsi="Arial" w:cs="Arial"/>
          <w:i/>
          <w:iCs/>
          <w:color w:val="222222"/>
          <w:sz w:val="24"/>
          <w:szCs w:val="24"/>
          <w:lang w:eastAsia="es-UY"/>
        </w:rPr>
        <w:t>vino con agua y con sangre</w:t>
      </w:r>
      <w:r w:rsidRPr="00191024">
        <w:rPr>
          <w:rFonts w:ascii="Arial" w:eastAsia="Times New Roman" w:hAnsi="Arial" w:cs="Arial"/>
          <w:color w:val="222222"/>
          <w:sz w:val="24"/>
          <w:szCs w:val="24"/>
          <w:lang w:eastAsia="es-UY"/>
        </w:rPr>
        <w:t>” puede aludir a la muerte de Jesús y su costado traspasado (Jn 19,34). Jesús el Mesías vino en su pascua para ser recibido por la fe y el amor a semejanza suya. Agua y sangre pueden también aludir al bautismo y la eucaristía (3,5; 7,37-39; 19,30; y 6,53-56).</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Lo propio del </w:t>
      </w:r>
      <w:r w:rsidRPr="00191024">
        <w:rPr>
          <w:rFonts w:ascii="Arial" w:eastAsia="Times New Roman" w:hAnsi="Arial" w:cs="Arial"/>
          <w:i/>
          <w:iCs/>
          <w:color w:val="222222"/>
          <w:sz w:val="24"/>
          <w:szCs w:val="24"/>
          <w:lang w:eastAsia="es-UY"/>
        </w:rPr>
        <w:t>agua</w:t>
      </w:r>
      <w:r w:rsidRPr="00191024">
        <w:rPr>
          <w:rFonts w:ascii="Arial" w:eastAsia="Times New Roman" w:hAnsi="Arial" w:cs="Arial"/>
          <w:color w:val="222222"/>
          <w:sz w:val="24"/>
          <w:szCs w:val="24"/>
          <w:lang w:eastAsia="es-UY"/>
        </w:rPr>
        <w:t>, la </w:t>
      </w:r>
      <w:r w:rsidRPr="00191024">
        <w:rPr>
          <w:rFonts w:ascii="Arial" w:eastAsia="Times New Roman" w:hAnsi="Arial" w:cs="Arial"/>
          <w:i/>
          <w:iCs/>
          <w:color w:val="222222"/>
          <w:sz w:val="24"/>
          <w:szCs w:val="24"/>
          <w:lang w:eastAsia="es-UY"/>
        </w:rPr>
        <w:t>sangre</w:t>
      </w:r>
      <w:r w:rsidRPr="00191024">
        <w:rPr>
          <w:rFonts w:ascii="Arial" w:eastAsia="Times New Roman" w:hAnsi="Arial" w:cs="Arial"/>
          <w:color w:val="222222"/>
          <w:sz w:val="24"/>
          <w:szCs w:val="24"/>
          <w:lang w:eastAsia="es-UY"/>
        </w:rPr>
        <w:t> y el </w:t>
      </w:r>
      <w:r w:rsidRPr="00191024">
        <w:rPr>
          <w:rFonts w:ascii="Arial" w:eastAsia="Times New Roman" w:hAnsi="Arial" w:cs="Arial"/>
          <w:i/>
          <w:iCs/>
          <w:color w:val="222222"/>
          <w:sz w:val="24"/>
          <w:szCs w:val="24"/>
          <w:lang w:eastAsia="es-UY"/>
        </w:rPr>
        <w:t>espíritu</w:t>
      </w:r>
      <w:r w:rsidRPr="00191024">
        <w:rPr>
          <w:rFonts w:ascii="Arial" w:eastAsia="Times New Roman" w:hAnsi="Arial" w:cs="Arial"/>
          <w:color w:val="222222"/>
          <w:sz w:val="24"/>
          <w:szCs w:val="24"/>
          <w:lang w:eastAsia="es-UY"/>
        </w:rPr>
        <w:t> es dar </w:t>
      </w:r>
      <w:r w:rsidRPr="00191024">
        <w:rPr>
          <w:rFonts w:ascii="Arial" w:eastAsia="Times New Roman" w:hAnsi="Arial" w:cs="Arial"/>
          <w:i/>
          <w:iCs/>
          <w:color w:val="222222"/>
          <w:sz w:val="24"/>
          <w:szCs w:val="24"/>
          <w:lang w:eastAsia="es-UY"/>
        </w:rPr>
        <w:t>testimonio</w:t>
      </w:r>
      <w:r w:rsidRPr="00191024">
        <w:rPr>
          <w:rFonts w:ascii="Arial" w:eastAsia="Times New Roman" w:hAnsi="Arial" w:cs="Arial"/>
          <w:color w:val="222222"/>
          <w:sz w:val="24"/>
          <w:szCs w:val="24"/>
          <w:lang w:eastAsia="es-UY"/>
        </w:rPr>
        <w:t>. Testimonio “</w:t>
      </w:r>
      <w:r w:rsidRPr="00191024">
        <w:rPr>
          <w:rFonts w:ascii="Arial" w:eastAsia="Times New Roman" w:hAnsi="Arial" w:cs="Arial"/>
          <w:i/>
          <w:iCs/>
          <w:color w:val="222222"/>
          <w:sz w:val="24"/>
          <w:szCs w:val="24"/>
          <w:lang w:eastAsia="es-UY"/>
        </w:rPr>
        <w:t>de Dios acerca de su hijo</w:t>
      </w:r>
      <w:r w:rsidRPr="00191024">
        <w:rPr>
          <w:rFonts w:ascii="Arial" w:eastAsia="Times New Roman" w:hAnsi="Arial" w:cs="Arial"/>
          <w:color w:val="222222"/>
          <w:sz w:val="24"/>
          <w:szCs w:val="24"/>
          <w:lang w:eastAsia="es-UY"/>
        </w:rPr>
        <w:t>” (v.9) </w:t>
      </w:r>
      <w:r w:rsidRPr="00191024">
        <w:rPr>
          <w:rFonts w:ascii="Arial" w:eastAsia="Times New Roman" w:hAnsi="Arial" w:cs="Arial"/>
          <w:i/>
          <w:iCs/>
          <w:color w:val="222222"/>
          <w:sz w:val="24"/>
          <w:szCs w:val="24"/>
          <w:lang w:eastAsia="es-UY"/>
        </w:rPr>
        <w:t>para que crean</w:t>
      </w:r>
      <w:r w:rsidRPr="00191024">
        <w:rPr>
          <w:rFonts w:ascii="Arial" w:eastAsia="Times New Roman" w:hAnsi="Arial" w:cs="Arial"/>
          <w:color w:val="222222"/>
          <w:sz w:val="24"/>
          <w:szCs w:val="24"/>
          <w:lang w:eastAsia="es-UY"/>
        </w:rPr>
        <w:t> (v.10). La fe es el objetivo del testimonio, fe en Jesús a quien se ha de creer. Lo que Dios testimonia sobre Jesús es su resurrección como triunfo sobre la muerte.</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 </w:t>
      </w:r>
      <w:r w:rsidRPr="00191024">
        <w:rPr>
          <w:rFonts w:ascii="Arial" w:eastAsia="Times New Roman" w:hAnsi="Arial" w:cs="Arial"/>
          <w:b/>
          <w:bCs/>
          <w:color w:val="222222"/>
          <w:sz w:val="24"/>
          <w:szCs w:val="24"/>
          <w:lang w:eastAsia="es-UY"/>
        </w:rPr>
        <w:t>Evangelio según san Juan</w:t>
      </w:r>
      <w:r w:rsidRPr="00191024">
        <w:rPr>
          <w:rFonts w:ascii="Arial" w:eastAsia="Times New Roman" w:hAnsi="Arial" w:cs="Arial"/>
          <w:color w:val="222222"/>
          <w:sz w:val="24"/>
          <w:szCs w:val="24"/>
          <w:lang w:eastAsia="es-UY"/>
        </w:rPr>
        <w:t>     20, 19-31</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i/>
          <w:iCs/>
          <w:color w:val="222222"/>
          <w:sz w:val="24"/>
          <w:szCs w:val="24"/>
          <w:lang w:eastAsia="es-UY"/>
        </w:rPr>
        <w:t>Resumen: Con la resurrección de Jesús y su aparición a los discípulos Jesús comienza a otorgarles los dones escatológicos por excelencia: la paz, la alegría, el perdón, el Espíritu…</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br/>
        <w:t>El día de la resurrección está concluyendo. De madrugada, María Magdalena fue al sepulcro (20,1); más tarde María se encuentra con Jesús a quien confunde con el “jardinero” (20,15) y lo comunica a los “discípulos” y al atardecer de ese mismo día tiene lugar la aparición a “</w:t>
      </w:r>
      <w:r w:rsidRPr="00191024">
        <w:rPr>
          <w:rFonts w:ascii="Arial" w:eastAsia="Times New Roman" w:hAnsi="Arial" w:cs="Arial"/>
          <w:i/>
          <w:iCs/>
          <w:color w:val="222222"/>
          <w:sz w:val="24"/>
          <w:szCs w:val="24"/>
          <w:lang w:eastAsia="es-UY"/>
        </w:rPr>
        <w:t>los discípulos</w:t>
      </w:r>
      <w:r w:rsidRPr="00191024">
        <w:rPr>
          <w:rFonts w:ascii="Arial" w:eastAsia="Times New Roman" w:hAnsi="Arial" w:cs="Arial"/>
          <w:color w:val="222222"/>
          <w:sz w:val="24"/>
          <w:szCs w:val="24"/>
          <w:lang w:eastAsia="es-UY"/>
        </w:rPr>
        <w:t>”. No sabemos quiénes eran los que estaban en este relato (por lo cual “los discípulos” como conjunto son los que deben ser tenidos en cuenta en el relato), sólo sabemos quién faltaba, Tomás, que será el protagonista, junto con Jesús, de la próxima y última escena. Esta unidad tiene entonces dos partes separadas por una semana (a fin de que la nueva aparición del resucitado vuelva a ocurrir en domingo). La ausencia y presencia de Tomás marca el elemento – nuevo en la segunda – que las relaciona, pero no hace falta caer en el fundamentalismo de preguntar si entonces Tomás no recibe los dones dados por Jesús en la primera visita.</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Empecemos señalando que la presencia de Jesús con las puertas cerradas (v.19.26) parece intentar referir a que Jesús no ha vuelto a la misma vida pasada: su cuerpo es el mismo, pero es a su vez distinto, es glorificado. Como en la escena que sigue, las palabras de Jesús reconocen el don de la </w:t>
      </w:r>
      <w:r w:rsidRPr="00191024">
        <w:rPr>
          <w:rFonts w:ascii="Arial" w:eastAsia="Times New Roman" w:hAnsi="Arial" w:cs="Arial"/>
          <w:i/>
          <w:iCs/>
          <w:color w:val="222222"/>
          <w:sz w:val="24"/>
          <w:szCs w:val="24"/>
          <w:lang w:eastAsia="es-UY"/>
        </w:rPr>
        <w:t>paz</w:t>
      </w:r>
      <w:r w:rsidRPr="00191024">
        <w:rPr>
          <w:rFonts w:ascii="Arial" w:eastAsia="Times New Roman" w:hAnsi="Arial" w:cs="Arial"/>
          <w:color w:val="222222"/>
          <w:sz w:val="24"/>
          <w:szCs w:val="24"/>
          <w:lang w:eastAsia="es-UY"/>
        </w:rPr>
        <w:t> (shalom, algo necesario en medio del “</w:t>
      </w:r>
      <w:r w:rsidRPr="00191024">
        <w:rPr>
          <w:rFonts w:ascii="Arial" w:eastAsia="Times New Roman" w:hAnsi="Arial" w:cs="Arial"/>
          <w:i/>
          <w:iCs/>
          <w:color w:val="222222"/>
          <w:sz w:val="24"/>
          <w:szCs w:val="24"/>
          <w:lang w:eastAsia="es-UY"/>
        </w:rPr>
        <w:t>temor</w:t>
      </w:r>
      <w:r w:rsidRPr="00191024">
        <w:rPr>
          <w:rFonts w:ascii="Arial" w:eastAsia="Times New Roman" w:hAnsi="Arial" w:cs="Arial"/>
          <w:color w:val="222222"/>
          <w:sz w:val="24"/>
          <w:szCs w:val="24"/>
          <w:lang w:eastAsia="es-UY"/>
        </w:rPr>
        <w:t>”; no es justo decir que la paz ya está entre ellos – a causa de la ausencia de verbo, lit. “</w:t>
      </w:r>
      <w:r w:rsidRPr="00191024">
        <w:rPr>
          <w:rFonts w:ascii="Arial" w:eastAsia="Times New Roman" w:hAnsi="Arial" w:cs="Arial"/>
          <w:i/>
          <w:iCs/>
          <w:color w:val="222222"/>
          <w:sz w:val="24"/>
          <w:szCs w:val="24"/>
          <w:lang w:eastAsia="es-UY"/>
        </w:rPr>
        <w:t>la paz con ustedes</w:t>
      </w:r>
      <w:r w:rsidRPr="00191024">
        <w:rPr>
          <w:rFonts w:ascii="Arial" w:eastAsia="Times New Roman" w:hAnsi="Arial" w:cs="Arial"/>
          <w:color w:val="222222"/>
          <w:sz w:val="24"/>
          <w:szCs w:val="24"/>
          <w:lang w:eastAsia="es-UY"/>
        </w:rPr>
        <w:t>” – ya que el temor y la alegría posterior parecen desmentirlo) que Jesús les otorga (vv.19.26) y a continuación “</w:t>
      </w:r>
      <w:r w:rsidRPr="00191024">
        <w:rPr>
          <w:rFonts w:ascii="Arial" w:eastAsia="Times New Roman" w:hAnsi="Arial" w:cs="Arial"/>
          <w:i/>
          <w:iCs/>
          <w:color w:val="222222"/>
          <w:sz w:val="24"/>
          <w:szCs w:val="24"/>
          <w:lang w:eastAsia="es-UY"/>
        </w:rPr>
        <w:t>les muestra las manos y el costado</w:t>
      </w:r>
      <w:r w:rsidRPr="00191024">
        <w:rPr>
          <w:rFonts w:ascii="Arial" w:eastAsia="Times New Roman" w:hAnsi="Arial" w:cs="Arial"/>
          <w:color w:val="222222"/>
          <w:sz w:val="24"/>
          <w:szCs w:val="24"/>
          <w:lang w:eastAsia="es-UY"/>
        </w:rPr>
        <w:t>” reforzando así la idea de que “el resucitado es el crucificado”, continuidad y diferencia. Esto dicho anticipa la escena de Tomás, pero también nos adelanta que lo que dirá luego de los que “creen sin ver” no se refiere a los discípulos con exclusión de Tomás sino a los lectores del Evangelio. </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La </w:t>
      </w:r>
      <w:r w:rsidRPr="00191024">
        <w:rPr>
          <w:rFonts w:ascii="Arial" w:eastAsia="Times New Roman" w:hAnsi="Arial" w:cs="Arial"/>
          <w:i/>
          <w:iCs/>
          <w:color w:val="222222"/>
          <w:sz w:val="24"/>
          <w:szCs w:val="24"/>
          <w:lang w:eastAsia="es-UY"/>
        </w:rPr>
        <w:t>alegría</w:t>
      </w:r>
      <w:r w:rsidRPr="00191024">
        <w:rPr>
          <w:rFonts w:ascii="Arial" w:eastAsia="Times New Roman" w:hAnsi="Arial" w:cs="Arial"/>
          <w:color w:val="222222"/>
          <w:sz w:val="24"/>
          <w:szCs w:val="24"/>
          <w:lang w:eastAsia="es-UY"/>
        </w:rPr>
        <w:t> y la </w:t>
      </w:r>
      <w:r w:rsidRPr="00191024">
        <w:rPr>
          <w:rFonts w:ascii="Arial" w:eastAsia="Times New Roman" w:hAnsi="Arial" w:cs="Arial"/>
          <w:i/>
          <w:iCs/>
          <w:color w:val="222222"/>
          <w:sz w:val="24"/>
          <w:szCs w:val="24"/>
          <w:lang w:eastAsia="es-UY"/>
        </w:rPr>
        <w:t>paz</w:t>
      </w:r>
      <w:r w:rsidRPr="00191024">
        <w:rPr>
          <w:rFonts w:ascii="Arial" w:eastAsia="Times New Roman" w:hAnsi="Arial" w:cs="Arial"/>
          <w:color w:val="222222"/>
          <w:sz w:val="24"/>
          <w:szCs w:val="24"/>
          <w:lang w:eastAsia="es-UY"/>
        </w:rPr>
        <w:t> nuevamente otorgadas tienen una nueva dimensión. No se trata simplemente de repetir un saludo y que los discípulos se “</w:t>
      </w:r>
      <w:r w:rsidRPr="00191024">
        <w:rPr>
          <w:rFonts w:ascii="Arial" w:eastAsia="Times New Roman" w:hAnsi="Arial" w:cs="Arial"/>
          <w:i/>
          <w:iCs/>
          <w:color w:val="222222"/>
          <w:sz w:val="24"/>
          <w:szCs w:val="24"/>
          <w:lang w:eastAsia="es-UY"/>
        </w:rPr>
        <w:t>alegren</w:t>
      </w:r>
      <w:r w:rsidRPr="00191024">
        <w:rPr>
          <w:rFonts w:ascii="Arial" w:eastAsia="Times New Roman" w:hAnsi="Arial" w:cs="Arial"/>
          <w:color w:val="222222"/>
          <w:sz w:val="24"/>
          <w:szCs w:val="24"/>
          <w:lang w:eastAsia="es-UY"/>
        </w:rPr>
        <w:t>” por verlo resucitado, la “paz” y la “alegría” son dones escatológicos, como es escatológico todo el ambiente de esta escena. La resurrección de Jesús empieza a derramar sobre los suyos, los discípulos, los dones esperados para el final de los tiempos. Precisamente el gran don, el que engendra todos los anteriores, es el </w:t>
      </w:r>
      <w:r w:rsidRPr="00191024">
        <w:rPr>
          <w:rFonts w:ascii="Arial" w:eastAsia="Times New Roman" w:hAnsi="Arial" w:cs="Arial"/>
          <w:i/>
          <w:iCs/>
          <w:color w:val="222222"/>
          <w:sz w:val="24"/>
          <w:szCs w:val="24"/>
          <w:lang w:eastAsia="es-UY"/>
        </w:rPr>
        <w:t>Espíritu</w:t>
      </w:r>
      <w:r w:rsidRPr="00191024">
        <w:rPr>
          <w:rFonts w:ascii="Arial" w:eastAsia="Times New Roman" w:hAnsi="Arial" w:cs="Arial"/>
          <w:color w:val="222222"/>
          <w:sz w:val="24"/>
          <w:szCs w:val="24"/>
          <w:lang w:eastAsia="es-UY"/>
        </w:rPr>
        <w:t xml:space="preserve"> que ahora entrega el resucitado. Nosotros lectores ya sabemos que </w:t>
      </w:r>
      <w:r w:rsidRPr="00191024">
        <w:rPr>
          <w:rFonts w:ascii="Arial" w:eastAsia="Times New Roman" w:hAnsi="Arial" w:cs="Arial"/>
          <w:color w:val="222222"/>
          <w:sz w:val="24"/>
          <w:szCs w:val="24"/>
          <w:lang w:eastAsia="es-UY"/>
        </w:rPr>
        <w:lastRenderedPageBreak/>
        <w:t>sobre el pequeño grupo al pie de la cruz – los creyentes representados en la madre y el discípulo amado – se ha dado el espíritu (19,30), como estaba anunciado (7,39). Pero el espíritu – recordar los dichos del Paráclito (ver 14,16.26; 15,26; 16,7, siempre en el discurso de despedida) – no se derrama sobre el pequeño grupo, sino sobre todos los creyentes para ser testigos (20,22; ver 15,26-27). </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Ahora bien, como se puede ver en una lectura integral de todo el Evangelio, uno de los elementos centrales de la cristología joánica es presentar a Jesús como “</w:t>
      </w:r>
      <w:r w:rsidRPr="00191024">
        <w:rPr>
          <w:rFonts w:ascii="Arial" w:eastAsia="Times New Roman" w:hAnsi="Arial" w:cs="Arial"/>
          <w:i/>
          <w:iCs/>
          <w:color w:val="222222"/>
          <w:sz w:val="24"/>
          <w:szCs w:val="24"/>
          <w:lang w:eastAsia="es-UY"/>
        </w:rPr>
        <w:t>enviado</w:t>
      </w:r>
      <w:r w:rsidRPr="00191024">
        <w:rPr>
          <w:rFonts w:ascii="Arial" w:eastAsia="Times New Roman" w:hAnsi="Arial" w:cs="Arial"/>
          <w:color w:val="222222"/>
          <w:sz w:val="24"/>
          <w:szCs w:val="24"/>
          <w:lang w:eastAsia="es-UY"/>
        </w:rPr>
        <w:t>” del Padre. El “enviado” (el término judío es “</w:t>
      </w:r>
      <w:r w:rsidRPr="00191024">
        <w:rPr>
          <w:rFonts w:ascii="Arial" w:eastAsia="Times New Roman" w:hAnsi="Arial" w:cs="Arial"/>
          <w:i/>
          <w:iCs/>
          <w:color w:val="222222"/>
          <w:sz w:val="24"/>
          <w:szCs w:val="24"/>
          <w:lang w:eastAsia="es-UY"/>
        </w:rPr>
        <w:t>sheliaj</w:t>
      </w:r>
      <w:r w:rsidRPr="00191024">
        <w:rPr>
          <w:rFonts w:ascii="Arial" w:eastAsia="Times New Roman" w:hAnsi="Arial" w:cs="Arial"/>
          <w:color w:val="222222"/>
          <w:sz w:val="24"/>
          <w:szCs w:val="24"/>
          <w:lang w:eastAsia="es-UY"/>
        </w:rPr>
        <w:t>”) es una institución característica para la cual la persona tiene “la misma autoridad que tiene quien lo envía”, es decir, lo que dice, lo que decide, lo que deja de hacer es el mismo ‘enviador’ quien lo hace. Siendo Jesús “enviado del Padre” evidentemente pronuncia su misma palabra, opera sus mismas obras como queda claro todo a lo largo del Evangelio. “Enviado” en griego se dice con dos términos, </w:t>
      </w:r>
      <w:r w:rsidRPr="00191024">
        <w:rPr>
          <w:rFonts w:ascii="Arial" w:eastAsia="Times New Roman" w:hAnsi="Arial" w:cs="Arial"/>
          <w:i/>
          <w:iCs/>
          <w:color w:val="222222"/>
          <w:sz w:val="24"/>
          <w:szCs w:val="24"/>
          <w:lang w:eastAsia="es-UY"/>
        </w:rPr>
        <w:t>pempô</w:t>
      </w:r>
      <w:r w:rsidRPr="00191024">
        <w:rPr>
          <w:rFonts w:ascii="Arial" w:eastAsia="Times New Roman" w:hAnsi="Arial" w:cs="Arial"/>
          <w:color w:val="222222"/>
          <w:sz w:val="24"/>
          <w:szCs w:val="24"/>
          <w:lang w:eastAsia="es-UY"/>
        </w:rPr>
        <w:t> y </w:t>
      </w:r>
      <w:r w:rsidRPr="00191024">
        <w:rPr>
          <w:rFonts w:ascii="Arial" w:eastAsia="Times New Roman" w:hAnsi="Arial" w:cs="Arial"/>
          <w:i/>
          <w:iCs/>
          <w:color w:val="222222"/>
          <w:sz w:val="24"/>
          <w:szCs w:val="24"/>
          <w:lang w:eastAsia="es-UY"/>
        </w:rPr>
        <w:t>apostellô</w:t>
      </w:r>
      <w:r w:rsidRPr="00191024">
        <w:rPr>
          <w:rFonts w:ascii="Arial" w:eastAsia="Times New Roman" w:hAnsi="Arial" w:cs="Arial"/>
          <w:color w:val="222222"/>
          <w:sz w:val="24"/>
          <w:szCs w:val="24"/>
          <w:lang w:eastAsia="es-UY"/>
        </w:rPr>
        <w:t> (de donde viene “apóstol”). Así podemos decir que en el cuerpo del evangelio de Juan sólo hay un “apóstol” que es Jesús. Sin embargo, una vez resucitado, Jesús “</w:t>
      </w:r>
      <w:r w:rsidRPr="00191024">
        <w:rPr>
          <w:rFonts w:ascii="Arial" w:eastAsia="Times New Roman" w:hAnsi="Arial" w:cs="Arial"/>
          <w:i/>
          <w:iCs/>
          <w:color w:val="222222"/>
          <w:sz w:val="24"/>
          <w:szCs w:val="24"/>
          <w:lang w:eastAsia="es-UY"/>
        </w:rPr>
        <w:t>envía</w:t>
      </w:r>
      <w:r w:rsidRPr="00191024">
        <w:rPr>
          <w:rFonts w:ascii="Arial" w:eastAsia="Times New Roman" w:hAnsi="Arial" w:cs="Arial"/>
          <w:color w:val="222222"/>
          <w:sz w:val="24"/>
          <w:szCs w:val="24"/>
          <w:lang w:eastAsia="es-UY"/>
        </w:rPr>
        <w:t>” a sus discípulos así “como el Padre me envió” (ver 13,16.20; 17,18), y – en coherencia con los textos mencionados – es un envío “al mundo”. </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A continuación les da la capacidad de hacer llegar a todos el </w:t>
      </w:r>
      <w:r w:rsidRPr="00191024">
        <w:rPr>
          <w:rFonts w:ascii="Arial" w:eastAsia="Times New Roman" w:hAnsi="Arial" w:cs="Arial"/>
          <w:i/>
          <w:iCs/>
          <w:color w:val="222222"/>
          <w:sz w:val="24"/>
          <w:szCs w:val="24"/>
          <w:lang w:eastAsia="es-UY"/>
        </w:rPr>
        <w:t>perdón</w:t>
      </w:r>
      <w:r w:rsidRPr="00191024">
        <w:rPr>
          <w:rFonts w:ascii="Arial" w:eastAsia="Times New Roman" w:hAnsi="Arial" w:cs="Arial"/>
          <w:color w:val="222222"/>
          <w:sz w:val="24"/>
          <w:szCs w:val="24"/>
          <w:lang w:eastAsia="es-UY"/>
        </w:rPr>
        <w:t> de Dios (en un texto que tiene cierto contacto con Mt 16,19; 18,18).</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La escena queda abruptamente interrumpida – no hay despedida ni partida – con la referencia a la ausencia de Tomás. En un diálogo entre ambas escenas los asistentes confirman que han “</w:t>
      </w:r>
      <w:r w:rsidRPr="00191024">
        <w:rPr>
          <w:rFonts w:ascii="Arial" w:eastAsia="Times New Roman" w:hAnsi="Arial" w:cs="Arial"/>
          <w:i/>
          <w:iCs/>
          <w:color w:val="222222"/>
          <w:sz w:val="24"/>
          <w:szCs w:val="24"/>
          <w:lang w:eastAsia="es-UY"/>
        </w:rPr>
        <w:t>visto al Señor</w:t>
      </w:r>
      <w:r w:rsidRPr="00191024">
        <w:rPr>
          <w:rFonts w:ascii="Arial" w:eastAsia="Times New Roman" w:hAnsi="Arial" w:cs="Arial"/>
          <w:color w:val="222222"/>
          <w:sz w:val="24"/>
          <w:szCs w:val="24"/>
          <w:lang w:eastAsia="es-UY"/>
        </w:rPr>
        <w:t>” (nuevamente se confirma que la alusión a los que creen sin ver no se refiere a ellos) pero Tomás manifiesta explícitamente su incredulidad yendo más allá de la visión, él quiere tocar. </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Ocho días más tarde la escena inicial vuelve a repetirse, como dijimos, pero ahora Jesús se dirige directamente a Tomás invitándolo a hacer lo que había solicitado e invitándolo a no ser increyente sino creyente. La escena concluye con la magnífica confesión de fe de Tomás, “</w:t>
      </w:r>
      <w:r w:rsidRPr="00191024">
        <w:rPr>
          <w:rFonts w:ascii="Arial" w:eastAsia="Times New Roman" w:hAnsi="Arial" w:cs="Arial"/>
          <w:i/>
          <w:iCs/>
          <w:color w:val="222222"/>
          <w:sz w:val="24"/>
          <w:szCs w:val="24"/>
          <w:lang w:eastAsia="es-UY"/>
        </w:rPr>
        <w:t>Señor mío y Dios mío</w:t>
      </w:r>
      <w:r w:rsidRPr="00191024">
        <w:rPr>
          <w:rFonts w:ascii="Arial" w:eastAsia="Times New Roman" w:hAnsi="Arial" w:cs="Arial"/>
          <w:color w:val="222222"/>
          <w:sz w:val="24"/>
          <w:szCs w:val="24"/>
          <w:lang w:eastAsia="es-UY"/>
        </w:rPr>
        <w:t>”, conclusión a su vez, del Evangelio.</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Pero veamos algunos elementos fundamentales para entender más plenamente esta unidad: como se ha dicho, la </w:t>
      </w:r>
      <w:r w:rsidRPr="00191024">
        <w:rPr>
          <w:rFonts w:ascii="Arial" w:eastAsia="Times New Roman" w:hAnsi="Arial" w:cs="Arial"/>
          <w:i/>
          <w:iCs/>
          <w:color w:val="222222"/>
          <w:sz w:val="24"/>
          <w:szCs w:val="24"/>
          <w:lang w:eastAsia="es-UY"/>
        </w:rPr>
        <w:t>paz</w:t>
      </w:r>
      <w:r w:rsidRPr="00191024">
        <w:rPr>
          <w:rFonts w:ascii="Arial" w:eastAsia="Times New Roman" w:hAnsi="Arial" w:cs="Arial"/>
          <w:color w:val="222222"/>
          <w:sz w:val="24"/>
          <w:szCs w:val="24"/>
          <w:lang w:eastAsia="es-UY"/>
        </w:rPr>
        <w:t> y la </w:t>
      </w:r>
      <w:r w:rsidRPr="00191024">
        <w:rPr>
          <w:rFonts w:ascii="Arial" w:eastAsia="Times New Roman" w:hAnsi="Arial" w:cs="Arial"/>
          <w:i/>
          <w:iCs/>
          <w:color w:val="222222"/>
          <w:sz w:val="24"/>
          <w:szCs w:val="24"/>
          <w:lang w:eastAsia="es-UY"/>
        </w:rPr>
        <w:t>alegría</w:t>
      </w:r>
      <w:r w:rsidRPr="00191024">
        <w:rPr>
          <w:rFonts w:ascii="Arial" w:eastAsia="Times New Roman" w:hAnsi="Arial" w:cs="Arial"/>
          <w:color w:val="222222"/>
          <w:sz w:val="24"/>
          <w:szCs w:val="24"/>
          <w:lang w:eastAsia="es-UY"/>
        </w:rPr>
        <w:t> no son un simple saludo. La paz ya había sido anunciada por Jesús para su vuelta (14,27-28; 16,33; ver Is 52,7, 60,17, 66,12); y también la alegría (14,19; 16,21-22; ver Is 51,3 11, Sal 35,9). El “</w:t>
      </w:r>
      <w:r w:rsidRPr="00191024">
        <w:rPr>
          <w:rFonts w:ascii="Arial" w:eastAsia="Times New Roman" w:hAnsi="Arial" w:cs="Arial"/>
          <w:i/>
          <w:iCs/>
          <w:color w:val="222222"/>
          <w:sz w:val="24"/>
          <w:szCs w:val="24"/>
          <w:lang w:eastAsia="es-UY"/>
        </w:rPr>
        <w:t>soplo</w:t>
      </w:r>
      <w:r w:rsidRPr="00191024">
        <w:rPr>
          <w:rFonts w:ascii="Arial" w:eastAsia="Times New Roman" w:hAnsi="Arial" w:cs="Arial"/>
          <w:color w:val="222222"/>
          <w:sz w:val="24"/>
          <w:szCs w:val="24"/>
          <w:lang w:eastAsia="es-UY"/>
        </w:rPr>
        <w:t>” podría aludir al relato de la (nueva) creación (Gen 2,7; Sab 15,11) pero parece también coherente con la imagen de la resurrección en alusión a Ez 37 en el relato de los “huesos secos”; la humanidad resucita por el poder creador de Jesús resucitado. La referencia a </w:t>
      </w:r>
      <w:r w:rsidRPr="00191024">
        <w:rPr>
          <w:rFonts w:ascii="Arial" w:eastAsia="Times New Roman" w:hAnsi="Arial" w:cs="Arial"/>
          <w:i/>
          <w:iCs/>
          <w:color w:val="222222"/>
          <w:sz w:val="24"/>
          <w:szCs w:val="24"/>
          <w:lang w:eastAsia="es-UY"/>
        </w:rPr>
        <w:t>perdonar y retener </w:t>
      </w:r>
      <w:r w:rsidRPr="00191024">
        <w:rPr>
          <w:rFonts w:ascii="Arial" w:eastAsia="Times New Roman" w:hAnsi="Arial" w:cs="Arial"/>
          <w:color w:val="222222"/>
          <w:sz w:val="24"/>
          <w:szCs w:val="24"/>
          <w:lang w:eastAsia="es-UY"/>
        </w:rPr>
        <w:t xml:space="preserve">se mueve entre dos extremos, y tiene la apariencia de lo que se llama un “merismo”, es decir una figura retórica que quiere señalar la totalidad moviéndose entre los dos extremos. En este caso parece simbolizar el control total del acceso a la casa (ver Is 22,22 con términos similares, que también inspira – como dijimos – a Mt 16,19 y 18,18). Puesto que la escena refiere a “los discípulos” sin especificar, </w:t>
      </w:r>
      <w:r w:rsidRPr="00191024">
        <w:rPr>
          <w:rFonts w:ascii="Arial" w:eastAsia="Times New Roman" w:hAnsi="Arial" w:cs="Arial"/>
          <w:color w:val="222222"/>
          <w:sz w:val="24"/>
          <w:szCs w:val="24"/>
          <w:lang w:eastAsia="es-UY"/>
        </w:rPr>
        <w:lastRenderedPageBreak/>
        <w:t>parece que debe entenderse que es toda la comunidad creyente la que recibe este “ministerio”. </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Los discípulos ya habían escuchado palabras semejantes de María Magdalena que “había visto al Señor”, pero el texto no dice nada sobre las consecuencias de esto (lo que podría estar incluido si creemos que Juan ha desarmado el texto – como hemos dicho la semana pasada – y puesto la reacción de los discípulos al comienzo de la unidad). Las mismas palabras dicen ahora los discípulos a Tomás: “</w:t>
      </w:r>
      <w:r w:rsidRPr="00191024">
        <w:rPr>
          <w:rFonts w:ascii="Arial" w:eastAsia="Times New Roman" w:hAnsi="Arial" w:cs="Arial"/>
          <w:i/>
          <w:iCs/>
          <w:color w:val="222222"/>
          <w:sz w:val="24"/>
          <w:szCs w:val="24"/>
          <w:lang w:eastAsia="es-UY"/>
        </w:rPr>
        <w:t>hemos visto al Señor</w:t>
      </w:r>
      <w:r w:rsidRPr="00191024">
        <w:rPr>
          <w:rFonts w:ascii="Arial" w:eastAsia="Times New Roman" w:hAnsi="Arial" w:cs="Arial"/>
          <w:color w:val="222222"/>
          <w:sz w:val="24"/>
          <w:szCs w:val="24"/>
          <w:lang w:eastAsia="es-UY"/>
        </w:rPr>
        <w:t>”. </w:t>
      </w:r>
    </w:p>
    <w:p w:rsidR="00191024" w:rsidRPr="00191024" w:rsidRDefault="00191024" w:rsidP="00191024">
      <w:pPr>
        <w:shd w:val="clear" w:color="auto" w:fill="FFFFFF"/>
        <w:spacing w:after="0" w:line="240" w:lineRule="auto"/>
        <w:jc w:val="both"/>
        <w:rPr>
          <w:rFonts w:ascii="Arial" w:eastAsia="Times New Roman" w:hAnsi="Arial" w:cs="Arial"/>
          <w:color w:val="222222"/>
          <w:sz w:val="19"/>
          <w:szCs w:val="19"/>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19"/>
          <w:szCs w:val="19"/>
          <w:lang w:eastAsia="es-UY"/>
        </w:rPr>
      </w:pPr>
      <w:r w:rsidRPr="00191024">
        <w:rPr>
          <w:rFonts w:ascii="Arial" w:eastAsia="Times New Roman" w:hAnsi="Arial" w:cs="Arial"/>
          <w:color w:val="222222"/>
          <w:sz w:val="24"/>
          <w:szCs w:val="24"/>
          <w:lang w:eastAsia="es-UY"/>
        </w:rPr>
        <w:t>La respuesta de </w:t>
      </w:r>
      <w:r w:rsidRPr="00191024">
        <w:rPr>
          <w:rFonts w:ascii="Arial" w:eastAsia="Times New Roman" w:hAnsi="Arial" w:cs="Arial"/>
          <w:i/>
          <w:iCs/>
          <w:color w:val="222222"/>
          <w:sz w:val="24"/>
          <w:szCs w:val="24"/>
          <w:lang w:eastAsia="es-UY"/>
        </w:rPr>
        <w:t>Tomás</w:t>
      </w:r>
      <w:r w:rsidRPr="00191024">
        <w:rPr>
          <w:rFonts w:ascii="Arial" w:eastAsia="Times New Roman" w:hAnsi="Arial" w:cs="Arial"/>
          <w:color w:val="222222"/>
          <w:sz w:val="24"/>
          <w:szCs w:val="24"/>
          <w:lang w:eastAsia="es-UY"/>
        </w:rPr>
        <w:t> a los discípulos marca un segundo estadio en su itinerario de fe – luego de la ausencia – está dispuesto a dejar su incredulidad si es que el resucitado se ajusta a </w:t>
      </w:r>
      <w:r w:rsidRPr="00191024">
        <w:rPr>
          <w:rFonts w:ascii="Arial" w:eastAsia="Times New Roman" w:hAnsi="Arial" w:cs="Arial"/>
          <w:i/>
          <w:iCs/>
          <w:color w:val="222222"/>
          <w:sz w:val="24"/>
          <w:szCs w:val="24"/>
          <w:lang w:eastAsia="es-UY"/>
        </w:rPr>
        <w:t>sus </w:t>
      </w:r>
      <w:r w:rsidRPr="00191024">
        <w:rPr>
          <w:rFonts w:ascii="Arial" w:eastAsia="Times New Roman" w:hAnsi="Arial" w:cs="Arial"/>
          <w:color w:val="222222"/>
          <w:sz w:val="24"/>
          <w:szCs w:val="24"/>
          <w:lang w:eastAsia="es-UY"/>
        </w:rPr>
        <w:t>criterios, pero «si no» </w:t>
      </w:r>
      <w:r w:rsidRPr="00191024">
        <w:rPr>
          <w:rFonts w:ascii="Arial" w:eastAsia="Times New Roman" w:hAnsi="Arial" w:cs="Arial"/>
          <w:i/>
          <w:iCs/>
          <w:color w:val="222222"/>
          <w:sz w:val="24"/>
          <w:szCs w:val="24"/>
          <w:lang w:eastAsia="es-UY"/>
        </w:rPr>
        <w:t>(ean me) </w:t>
      </w:r>
      <w:r w:rsidRPr="00191024">
        <w:rPr>
          <w:rFonts w:ascii="Arial" w:eastAsia="Times New Roman" w:hAnsi="Arial" w:cs="Arial"/>
          <w:color w:val="222222"/>
          <w:sz w:val="24"/>
          <w:szCs w:val="24"/>
          <w:lang w:eastAsia="es-UY"/>
        </w:rPr>
        <w:t>cumple sus condiciones, permanecerá en la incredulidad, “no creeré” </w:t>
      </w:r>
      <w:r w:rsidRPr="00191024">
        <w:rPr>
          <w:rFonts w:ascii="Arial" w:eastAsia="Times New Roman" w:hAnsi="Arial" w:cs="Arial"/>
          <w:i/>
          <w:iCs/>
          <w:color w:val="222222"/>
          <w:sz w:val="24"/>
          <w:szCs w:val="24"/>
          <w:lang w:eastAsia="es-UY"/>
        </w:rPr>
        <w:t>(ou me pisteuso). </w:t>
      </w:r>
      <w:r w:rsidRPr="00191024">
        <w:rPr>
          <w:rFonts w:ascii="Arial" w:eastAsia="Times New Roman" w:hAnsi="Arial" w:cs="Arial"/>
          <w:color w:val="222222"/>
          <w:sz w:val="24"/>
          <w:szCs w:val="24"/>
          <w:lang w:eastAsia="es-UY"/>
        </w:rPr>
        <w:t>Tomás exige “</w:t>
      </w:r>
      <w:r w:rsidRPr="00191024">
        <w:rPr>
          <w:rFonts w:ascii="Arial" w:eastAsia="Times New Roman" w:hAnsi="Arial" w:cs="Arial"/>
          <w:i/>
          <w:iCs/>
          <w:color w:val="222222"/>
          <w:sz w:val="24"/>
          <w:szCs w:val="24"/>
          <w:lang w:eastAsia="es-UY"/>
        </w:rPr>
        <w:t>tocar</w:t>
      </w:r>
      <w:r w:rsidRPr="00191024">
        <w:rPr>
          <w:rFonts w:ascii="Arial" w:eastAsia="Times New Roman" w:hAnsi="Arial" w:cs="Arial"/>
          <w:color w:val="222222"/>
          <w:sz w:val="24"/>
          <w:szCs w:val="24"/>
          <w:lang w:eastAsia="es-UY"/>
        </w:rPr>
        <w:t>” a Jesús así como María quería aferrarse a su cuerpo (20,17); Tomas – ahora al menos está presente – exige experimentar el cuerpo resucitado del crucificado. Pero el sentido fuerte de “</w:t>
      </w:r>
      <w:r w:rsidRPr="00191024">
        <w:rPr>
          <w:rFonts w:ascii="Arial" w:eastAsia="Times New Roman" w:hAnsi="Arial" w:cs="Arial"/>
          <w:i/>
          <w:iCs/>
          <w:color w:val="222222"/>
          <w:sz w:val="24"/>
          <w:szCs w:val="24"/>
          <w:lang w:eastAsia="es-UY"/>
        </w:rPr>
        <w:t>tocar</w:t>
      </w:r>
      <w:r w:rsidRPr="00191024">
        <w:rPr>
          <w:rFonts w:ascii="Arial" w:eastAsia="Times New Roman" w:hAnsi="Arial" w:cs="Arial"/>
          <w:color w:val="222222"/>
          <w:sz w:val="24"/>
          <w:szCs w:val="24"/>
          <w:lang w:eastAsia="es-UY"/>
        </w:rPr>
        <w:t>” y “</w:t>
      </w:r>
      <w:r w:rsidRPr="00191024">
        <w:rPr>
          <w:rFonts w:ascii="Arial" w:eastAsia="Times New Roman" w:hAnsi="Arial" w:cs="Arial"/>
          <w:i/>
          <w:iCs/>
          <w:color w:val="222222"/>
          <w:sz w:val="24"/>
          <w:szCs w:val="24"/>
          <w:lang w:eastAsia="es-UY"/>
        </w:rPr>
        <w:t>meter</w:t>
      </w:r>
      <w:r w:rsidRPr="00191024">
        <w:rPr>
          <w:rFonts w:ascii="Arial" w:eastAsia="Times New Roman" w:hAnsi="Arial" w:cs="Arial"/>
          <w:color w:val="222222"/>
          <w:sz w:val="24"/>
          <w:szCs w:val="24"/>
          <w:lang w:eastAsia="es-UY"/>
        </w:rPr>
        <w:t>” parece destacar, además, la continuidad entre el mundo pasado y presente de Jesús (algo que el paso a través de las puertas refuta, como dijimos). Para creer, Jesús debe aceptar sus exigencias.  Al aparecerse Jesús manifiesta aceptar las condiciones de Tomás, pero a su vez también pretende: “</w:t>
      </w:r>
      <w:r w:rsidRPr="00191024">
        <w:rPr>
          <w:rFonts w:ascii="Arial" w:eastAsia="Times New Roman" w:hAnsi="Arial" w:cs="Arial"/>
          <w:i/>
          <w:iCs/>
          <w:color w:val="222222"/>
          <w:sz w:val="24"/>
          <w:szCs w:val="24"/>
          <w:lang w:eastAsia="es-UY"/>
        </w:rPr>
        <w:t>y no seas incrédulo, sino creyente</w:t>
      </w:r>
      <w:r w:rsidRPr="00191024">
        <w:rPr>
          <w:rFonts w:ascii="Arial" w:eastAsia="Times New Roman" w:hAnsi="Arial" w:cs="Arial"/>
          <w:color w:val="222222"/>
          <w:sz w:val="24"/>
          <w:szCs w:val="24"/>
          <w:lang w:eastAsia="es-UY"/>
        </w:rPr>
        <w:t>…” (no hace falta destacar aquí la reiteración e importancia del verbo “creer” a la que hicimos referencia). Nada indica que Tomás tocara, ahora es él el que acepta la condición de Jesús y manifiesta su fe. Lo que había ido mostrándose en el Evangelio sobre “la </w:t>
      </w:r>
      <w:r w:rsidRPr="00191024">
        <w:rPr>
          <w:rFonts w:ascii="Arial" w:eastAsia="Times New Roman" w:hAnsi="Arial" w:cs="Arial"/>
          <w:i/>
          <w:iCs/>
          <w:color w:val="222222"/>
          <w:sz w:val="24"/>
          <w:szCs w:val="24"/>
          <w:lang w:eastAsia="es-UY"/>
        </w:rPr>
        <w:t>palabra</w:t>
      </w:r>
      <w:r w:rsidRPr="00191024">
        <w:rPr>
          <w:rFonts w:ascii="Arial" w:eastAsia="Times New Roman" w:hAnsi="Arial" w:cs="Arial"/>
          <w:color w:val="222222"/>
          <w:sz w:val="24"/>
          <w:szCs w:val="24"/>
          <w:lang w:eastAsia="es-UY"/>
        </w:rPr>
        <w:t>” en 1,1-2, el uso por parte de Jesús del absoluto </w:t>
      </w:r>
      <w:r w:rsidRPr="00191024">
        <w:rPr>
          <w:rFonts w:ascii="Arial" w:eastAsia="Times New Roman" w:hAnsi="Arial" w:cs="Arial"/>
          <w:i/>
          <w:iCs/>
          <w:color w:val="222222"/>
          <w:sz w:val="24"/>
          <w:szCs w:val="24"/>
          <w:lang w:eastAsia="es-UY"/>
        </w:rPr>
        <w:t>“yo soy” </w:t>
      </w:r>
      <w:r w:rsidRPr="00191024">
        <w:rPr>
          <w:rFonts w:ascii="Arial" w:eastAsia="Times New Roman" w:hAnsi="Arial" w:cs="Arial"/>
          <w:color w:val="222222"/>
          <w:sz w:val="24"/>
          <w:szCs w:val="24"/>
          <w:lang w:eastAsia="es-UY"/>
        </w:rPr>
        <w:t>(ver 4,26, 8,24.28.58; 13,19; cf. 18,5.8), y su afirmación «yo y el Padre somos uno» </w:t>
      </w:r>
      <w:r w:rsidRPr="00191024">
        <w:rPr>
          <w:rFonts w:ascii="Arial" w:eastAsia="Times New Roman" w:hAnsi="Arial" w:cs="Arial"/>
          <w:i/>
          <w:iCs/>
          <w:color w:val="222222"/>
          <w:sz w:val="24"/>
          <w:szCs w:val="24"/>
          <w:lang w:eastAsia="es-UY"/>
        </w:rPr>
        <w:t>(10,30 y </w:t>
      </w:r>
      <w:r w:rsidRPr="00191024">
        <w:rPr>
          <w:rFonts w:ascii="Arial" w:eastAsia="Times New Roman" w:hAnsi="Arial" w:cs="Arial"/>
          <w:color w:val="222222"/>
          <w:sz w:val="24"/>
          <w:szCs w:val="24"/>
          <w:lang w:eastAsia="es-UY"/>
        </w:rPr>
        <w:t>también 10,38) llegan a su “climax” en esta confesión de fe: “</w:t>
      </w:r>
      <w:r w:rsidRPr="00191024">
        <w:rPr>
          <w:rFonts w:ascii="Arial" w:eastAsia="Times New Roman" w:hAnsi="Arial" w:cs="Arial"/>
          <w:i/>
          <w:iCs/>
          <w:color w:val="222222"/>
          <w:sz w:val="24"/>
          <w:szCs w:val="24"/>
          <w:lang w:eastAsia="es-UY"/>
        </w:rPr>
        <w:t>Señor mío, Dios mío</w:t>
      </w:r>
      <w:r w:rsidRPr="00191024">
        <w:rPr>
          <w:rFonts w:ascii="Arial" w:eastAsia="Times New Roman" w:hAnsi="Arial" w:cs="Arial"/>
          <w:color w:val="222222"/>
          <w:sz w:val="24"/>
          <w:szCs w:val="24"/>
          <w:lang w:eastAsia="es-UY"/>
        </w:rPr>
        <w:t>”. Se ha destacado que el emperador Domiciano (81-96 d.C.) quería ser venerado como </w:t>
      </w:r>
      <w:r w:rsidRPr="00191024">
        <w:rPr>
          <w:rFonts w:ascii="Arial" w:eastAsia="Times New Roman" w:hAnsi="Arial" w:cs="Arial"/>
          <w:i/>
          <w:iCs/>
          <w:color w:val="222222"/>
          <w:sz w:val="24"/>
          <w:szCs w:val="24"/>
          <w:lang w:eastAsia="es-UY"/>
        </w:rPr>
        <w:t>Dominus et Deus noster </w:t>
      </w:r>
      <w:r w:rsidRPr="00191024">
        <w:rPr>
          <w:rFonts w:ascii="Arial" w:eastAsia="Times New Roman" w:hAnsi="Arial" w:cs="Arial"/>
          <w:color w:val="222222"/>
          <w:sz w:val="24"/>
          <w:szCs w:val="24"/>
          <w:lang w:eastAsia="es-UY"/>
        </w:rPr>
        <w:t>(Suetonio, </w:t>
      </w:r>
      <w:r w:rsidRPr="00191024">
        <w:rPr>
          <w:rFonts w:ascii="Arial" w:eastAsia="Times New Roman" w:hAnsi="Arial" w:cs="Arial"/>
          <w:i/>
          <w:iCs/>
          <w:color w:val="222222"/>
          <w:sz w:val="24"/>
          <w:szCs w:val="24"/>
          <w:lang w:eastAsia="es-UY"/>
        </w:rPr>
        <w:t>Domiciano </w:t>
      </w:r>
      <w:r w:rsidRPr="00191024">
        <w:rPr>
          <w:rFonts w:ascii="Arial" w:eastAsia="Times New Roman" w:hAnsi="Arial" w:cs="Arial"/>
          <w:color w:val="222222"/>
          <w:sz w:val="24"/>
          <w:szCs w:val="24"/>
          <w:lang w:eastAsia="es-UY"/>
        </w:rPr>
        <w:t>13). El ambiente del “culto al emperador” era muy importante en el imperio romano, y quizás sea el trasfondo del dicho, pero no hace honor al texto entenderlo exclusivamente como una confrontación; el dicho debe entenderse especialmente en el contexto del mismo Evangelio y su texto (cf. Sal 35,23; Am 5,16).</w:t>
      </w:r>
    </w:p>
    <w:p w:rsidR="00191024" w:rsidRPr="00191024" w:rsidRDefault="00191024" w:rsidP="00191024">
      <w:pPr>
        <w:shd w:val="clear" w:color="auto" w:fill="FFFFFF"/>
        <w:spacing w:after="0" w:line="240" w:lineRule="auto"/>
        <w:jc w:val="both"/>
        <w:rPr>
          <w:rFonts w:ascii="Arial" w:eastAsia="Times New Roman" w:hAnsi="Arial" w:cs="Arial"/>
          <w:color w:val="222222"/>
          <w:sz w:val="19"/>
          <w:szCs w:val="19"/>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19"/>
          <w:szCs w:val="19"/>
          <w:lang w:eastAsia="es-UY"/>
        </w:rPr>
      </w:pPr>
      <w:r w:rsidRPr="00191024">
        <w:rPr>
          <w:rFonts w:ascii="Arial" w:eastAsia="Times New Roman" w:hAnsi="Arial" w:cs="Arial"/>
          <w:color w:val="222222"/>
          <w:sz w:val="24"/>
          <w:szCs w:val="24"/>
          <w:lang w:eastAsia="es-UY"/>
        </w:rPr>
        <w:t>La confesión finaliza con un dicho de Jesús, “</w:t>
      </w:r>
      <w:r w:rsidRPr="00191024">
        <w:rPr>
          <w:rFonts w:ascii="Arial" w:eastAsia="Times New Roman" w:hAnsi="Arial" w:cs="Arial"/>
          <w:i/>
          <w:iCs/>
          <w:color w:val="222222"/>
          <w:sz w:val="24"/>
          <w:szCs w:val="24"/>
          <w:lang w:eastAsia="es-UY"/>
        </w:rPr>
        <w:t>Dichosos los que no han visto y han creído</w:t>
      </w:r>
      <w:r w:rsidRPr="00191024">
        <w:rPr>
          <w:rFonts w:ascii="Arial" w:eastAsia="Times New Roman" w:hAnsi="Arial" w:cs="Arial"/>
          <w:color w:val="222222"/>
          <w:sz w:val="24"/>
          <w:szCs w:val="24"/>
          <w:lang w:eastAsia="es-UY"/>
        </w:rPr>
        <w:t>” abriendo así el relato a los lectores del Evangelio, a un nuevo tiempo histórico (17,20; cf. 1 Pe 1,8). Pero no es justo, tampoco, descuidar– en una misma proyección a los discípulos y al tiempo de los lectores del Evangelio – que antes, se ha destacado que el discípulo amado creyó sin ver (20,8). Eso es lo que están invitados a confesar los destinatarios del cuarto evangelio, y ese ejemplo están (estamos) invitados a seguir.</w:t>
      </w:r>
    </w:p>
    <w:p w:rsidR="00191024" w:rsidRPr="00191024" w:rsidRDefault="00191024" w:rsidP="00191024">
      <w:pPr>
        <w:shd w:val="clear" w:color="auto" w:fill="FFFFFF"/>
        <w:spacing w:after="0" w:line="240" w:lineRule="auto"/>
        <w:jc w:val="both"/>
        <w:rPr>
          <w:rFonts w:ascii="Arial" w:eastAsia="Times New Roman" w:hAnsi="Arial" w:cs="Arial"/>
          <w:color w:val="222222"/>
          <w:sz w:val="19"/>
          <w:szCs w:val="19"/>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En los vv.30-31 se presenta la conclusión de todo el Evangelio, el “para qué” fue escrito: “</w:t>
      </w:r>
      <w:r w:rsidRPr="00191024">
        <w:rPr>
          <w:rFonts w:ascii="Arial" w:eastAsia="Times New Roman" w:hAnsi="Arial" w:cs="Arial"/>
          <w:i/>
          <w:iCs/>
          <w:color w:val="222222"/>
          <w:sz w:val="24"/>
          <w:szCs w:val="24"/>
          <w:lang w:eastAsia="es-UY"/>
        </w:rPr>
        <w:t>para que crean</w:t>
      </w:r>
      <w:r w:rsidRPr="00191024">
        <w:rPr>
          <w:rFonts w:ascii="Arial" w:eastAsia="Times New Roman" w:hAnsi="Arial" w:cs="Arial"/>
          <w:color w:val="222222"/>
          <w:sz w:val="24"/>
          <w:szCs w:val="24"/>
          <w:lang w:eastAsia="es-UY"/>
        </w:rPr>
        <w:t>” y creyendo “</w:t>
      </w:r>
      <w:r w:rsidRPr="00191024">
        <w:rPr>
          <w:rFonts w:ascii="Arial" w:eastAsia="Times New Roman" w:hAnsi="Arial" w:cs="Arial"/>
          <w:i/>
          <w:iCs/>
          <w:color w:val="222222"/>
          <w:sz w:val="24"/>
          <w:szCs w:val="24"/>
          <w:lang w:eastAsia="es-UY"/>
        </w:rPr>
        <w:t>tengan vida</w:t>
      </w:r>
      <w:r w:rsidRPr="00191024">
        <w:rPr>
          <w:rFonts w:ascii="Arial" w:eastAsia="Times New Roman" w:hAnsi="Arial" w:cs="Arial"/>
          <w:color w:val="222222"/>
          <w:sz w:val="24"/>
          <w:szCs w:val="24"/>
          <w:lang w:eastAsia="es-UY"/>
        </w:rPr>
        <w:t>” (divina). “Juan” ha hecho una selección de signos en esta obra con esta finalidad, “que crean”. No se debe descuidar que este creer aquí se señala explícitamente: “</w:t>
      </w:r>
      <w:r w:rsidRPr="00191024">
        <w:rPr>
          <w:rFonts w:ascii="Arial" w:eastAsia="Times New Roman" w:hAnsi="Arial" w:cs="Arial"/>
          <w:i/>
          <w:iCs/>
          <w:color w:val="222222"/>
          <w:sz w:val="24"/>
          <w:szCs w:val="24"/>
          <w:lang w:eastAsia="es-UY"/>
        </w:rPr>
        <w:t>que crean que Jesús es el Mesías, el Hijo de Dios</w:t>
      </w:r>
      <w:r w:rsidRPr="00191024">
        <w:rPr>
          <w:rFonts w:ascii="Arial" w:eastAsia="Times New Roman" w:hAnsi="Arial" w:cs="Arial"/>
          <w:color w:val="222222"/>
          <w:sz w:val="24"/>
          <w:szCs w:val="24"/>
          <w:lang w:eastAsia="es-UY"/>
        </w:rPr>
        <w:t xml:space="preserve">”, algo que en el Evangelio es confesado por Marta (11,27), a quien Jesús ama, y hermana de Lázaro (11,5). Siendo idénticas palabras a las de Pedro en la llamada “confesión de fe de Pedro” (Mt 16,16), seguramente debería referirse a Marta con idéntica idea, “confesión de fe de </w:t>
      </w:r>
      <w:r w:rsidRPr="00191024">
        <w:rPr>
          <w:rFonts w:ascii="Arial" w:eastAsia="Times New Roman" w:hAnsi="Arial" w:cs="Arial"/>
          <w:color w:val="222222"/>
          <w:sz w:val="24"/>
          <w:szCs w:val="24"/>
          <w:lang w:eastAsia="es-UY"/>
        </w:rPr>
        <w:lastRenderedPageBreak/>
        <w:t>Marta”; por eso a ella Jesús le aclara “el que crea en mí, aunque muera vivirá, y todo el que vive y cree en mí no morirá jamás. ¿Crees?” (11,26; notar en ambos casos – de Marta y de la conclusión del Evangelio – la centralidad de “creer”). Siendo esta la máxima confesión de fe del Evangelio, no se debería dejar a Marta en un segundo lugar al leerlo. Pero – en este caso concreto de la liturgia de la fecha – siendo esta la conclusión de todo el Evangelio, la unidad merecería un desarrollo mucho más extenso. Simplemente reiteremos aquí la estrecha relación entre </w:t>
      </w:r>
      <w:r w:rsidRPr="00191024">
        <w:rPr>
          <w:rFonts w:ascii="Arial" w:eastAsia="Times New Roman" w:hAnsi="Arial" w:cs="Arial"/>
          <w:i/>
          <w:iCs/>
          <w:color w:val="222222"/>
          <w:sz w:val="24"/>
          <w:szCs w:val="24"/>
          <w:lang w:eastAsia="es-UY"/>
        </w:rPr>
        <w:t>fe y vida</w:t>
      </w:r>
      <w:r w:rsidRPr="00191024">
        <w:rPr>
          <w:rFonts w:ascii="Arial" w:eastAsia="Times New Roman" w:hAnsi="Arial" w:cs="Arial"/>
          <w:color w:val="222222"/>
          <w:sz w:val="24"/>
          <w:szCs w:val="24"/>
          <w:lang w:eastAsia="es-UY"/>
        </w:rPr>
        <w:t> (divina), eso es lo que el autor del Evangelio pretende. Esos son los “creyentes” – y discípulos amados – y esa es la comunicación de la vida “resucitada” para “todo el que cree”.</w:t>
      </w: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p>
    <w:p w:rsidR="00191024" w:rsidRPr="00191024" w:rsidRDefault="00191024" w:rsidP="00191024">
      <w:pPr>
        <w:shd w:val="clear" w:color="auto" w:fill="FFFFFF"/>
        <w:spacing w:after="0" w:line="240" w:lineRule="auto"/>
        <w:jc w:val="both"/>
        <w:rPr>
          <w:rFonts w:ascii="Arial" w:eastAsia="Times New Roman" w:hAnsi="Arial" w:cs="Arial"/>
          <w:color w:val="222222"/>
          <w:sz w:val="24"/>
          <w:szCs w:val="24"/>
          <w:lang w:eastAsia="es-UY"/>
        </w:rPr>
      </w:pPr>
      <w:r w:rsidRPr="00191024">
        <w:rPr>
          <w:rFonts w:ascii="Arial" w:eastAsia="Times New Roman" w:hAnsi="Arial" w:cs="Arial"/>
          <w:color w:val="222222"/>
          <w:sz w:val="24"/>
          <w:szCs w:val="24"/>
          <w:lang w:eastAsia="es-UY"/>
        </w:rPr>
        <w:t>Dibujo tomado de </w:t>
      </w:r>
      <w:hyperlink r:id="rId6" w:tgtFrame="_blank" w:history="1">
        <w:r w:rsidRPr="00191024">
          <w:rPr>
            <w:rFonts w:ascii="Arial" w:eastAsia="Times New Roman" w:hAnsi="Arial" w:cs="Arial"/>
            <w:color w:val="0000FF"/>
            <w:sz w:val="24"/>
            <w:szCs w:val="24"/>
            <w:u w:val="single"/>
            <w:lang w:eastAsia="es-UY"/>
          </w:rPr>
          <w:t>www.conocereisdeverdad.org</w:t>
        </w:r>
      </w:hyperlink>
    </w:p>
    <w:p w:rsidR="00191024" w:rsidRPr="00191024" w:rsidRDefault="00191024" w:rsidP="00191024">
      <w:pPr>
        <w:shd w:val="clear" w:color="auto" w:fill="FFFFFF"/>
        <w:spacing w:after="0" w:line="240" w:lineRule="auto"/>
        <w:rPr>
          <w:rFonts w:ascii="Arial" w:eastAsia="Times New Roman" w:hAnsi="Arial" w:cs="Arial"/>
          <w:color w:val="222222"/>
          <w:sz w:val="24"/>
          <w:szCs w:val="24"/>
          <w:lang w:eastAsia="es-UY"/>
        </w:rPr>
      </w:pPr>
    </w:p>
    <w:p w:rsidR="002E2F5B" w:rsidRPr="00191024" w:rsidRDefault="002E2F5B">
      <w:pPr>
        <w:rPr>
          <w:sz w:val="24"/>
          <w:szCs w:val="24"/>
        </w:rPr>
      </w:pPr>
    </w:p>
    <w:sectPr w:rsidR="002E2F5B" w:rsidRPr="001910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24"/>
    <w:rsid w:val="0019102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0306C-164E-4692-AFA6-E241D0F8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109582">
      <w:bodyDiv w:val="1"/>
      <w:marLeft w:val="0"/>
      <w:marRight w:val="0"/>
      <w:marTop w:val="0"/>
      <w:marBottom w:val="0"/>
      <w:divBdr>
        <w:top w:val="none" w:sz="0" w:space="0" w:color="auto"/>
        <w:left w:val="none" w:sz="0" w:space="0" w:color="auto"/>
        <w:bottom w:val="none" w:sz="0" w:space="0" w:color="auto"/>
        <w:right w:val="none" w:sz="0" w:space="0" w:color="auto"/>
      </w:divBdr>
      <w:divsChild>
        <w:div w:id="1566337430">
          <w:marLeft w:val="0"/>
          <w:marRight w:val="225"/>
          <w:marTop w:val="75"/>
          <w:marBottom w:val="0"/>
          <w:divBdr>
            <w:top w:val="none" w:sz="0" w:space="0" w:color="auto"/>
            <w:left w:val="none" w:sz="0" w:space="0" w:color="auto"/>
            <w:bottom w:val="none" w:sz="0" w:space="0" w:color="auto"/>
            <w:right w:val="none" w:sz="0" w:space="0" w:color="auto"/>
          </w:divBdr>
          <w:divsChild>
            <w:div w:id="1199856762">
              <w:marLeft w:val="0"/>
              <w:marRight w:val="0"/>
              <w:marTop w:val="0"/>
              <w:marBottom w:val="0"/>
              <w:divBdr>
                <w:top w:val="none" w:sz="0" w:space="0" w:color="auto"/>
                <w:left w:val="none" w:sz="0" w:space="0" w:color="auto"/>
                <w:bottom w:val="none" w:sz="0" w:space="0" w:color="auto"/>
                <w:right w:val="none" w:sz="0" w:space="0" w:color="auto"/>
              </w:divBdr>
              <w:divsChild>
                <w:div w:id="1934240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1918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3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ved=0CAYQjB0&amp;url=http%3A%2F%2Fwww.conocereisdeverdad.org%2Fwebsite%2Findex.php%3Fid%3D2343&amp;ei=bKMNVZfSNYzCggTbuYSgDA&amp;bvm=bv.88528373,d.cWc&amp;psig=AFQjCNFb1riSiXUmpSoGBx9U3NExpWTAEQ&amp;ust=1427043534891868" TargetMode="External"/><Relationship Id="rId5" Type="http://schemas.openxmlformats.org/officeDocument/2006/relationships/image" Target="media/image1.jpeg"/><Relationship Id="rId4" Type="http://schemas.openxmlformats.org/officeDocument/2006/relationships/hyperlink" Target="http://4.bp.blogspot.com/-HcEiN3w4f_I/VRdBPxNyJbI/AAAAAAAAEIU/o9TL3y3MQUM/s1600/Pascua+2B.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2367</Words>
  <Characters>13023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2018-04-03T14:30:00Z</dcterms:created>
  <dcterms:modified xsi:type="dcterms:W3CDTF">2018-04-03T14:31:00Z</dcterms:modified>
</cp:coreProperties>
</file>