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980" w:rsidRPr="00274980" w:rsidRDefault="00274980" w:rsidP="0027498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s-UY"/>
        </w:rPr>
      </w:pPr>
      <w:bookmarkStart w:id="0" w:name="_GoBack"/>
      <w:r w:rsidRPr="00274980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val="es-MX" w:eastAsia="es-UY"/>
        </w:rPr>
        <w:t>Perspectivas de crecimiento del 2018</w:t>
      </w:r>
    </w:p>
    <w:p w:rsidR="00274980" w:rsidRPr="00274980" w:rsidRDefault="00274980" w:rsidP="0027498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val="es-MX" w:eastAsia="es-UY"/>
        </w:rPr>
        <w:t>Estados Unidos y los nuevos riesgos económicos de América Latina</w:t>
      </w:r>
    </w:p>
    <w:bookmarkEnd w:id="0"/>
    <w:p w:rsidR="00274980" w:rsidRPr="00274980" w:rsidRDefault="00274980" w:rsidP="0027498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s-MX" w:eastAsia="es-UY"/>
        </w:rPr>
        <w:t> </w:t>
      </w:r>
    </w:p>
    <w:p w:rsidR="00274980" w:rsidRPr="00274980" w:rsidRDefault="00274980" w:rsidP="0027498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val="es-MX" w:eastAsia="es-UY"/>
        </w:rPr>
        <w:t>Oscar Ugarteche, Priscila Lechuga, Armando Negrete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 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s-MX" w:eastAsia="es-UY"/>
        </w:rPr>
        <w:t>ALAI AMLATINA, 25/06/2018.- </w:t>
      </w:r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El ímpetu del discurso optimista del primer trimestre del 2018, emanado del Fondo Monetario Internacional y el Banco Mundial, se ha enfrentado con la realidad económica mundial, los previsibles anuncios del alza de las tasas de interés por el Reserva Federal de </w:t>
      </w:r>
      <w:proofErr w:type="gramStart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EEUU</w:t>
      </w:r>
      <w:proofErr w:type="gramEnd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 (Fed) y los riesgos aparejados al alza unilateral de aranceles estadounidense.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> 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En las Perspectivas de la Economía Mundial (WEO) de abril, del FMI, se mantuvieron las previsiones de crecimiento económico mundial en un nivel de 3.9% presentadas en enero. Las estimaciones del Banco Mundial continuaron positivas para 2017 y 2018, aunque han moderado su optimismo a mediano plazo a un 3% y 2.9%, para 2019 y 2020, respectivamente. 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> 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Sin embargo, las tensiones creadas por </w:t>
      </w:r>
      <w:proofErr w:type="gramStart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EEUU</w:t>
      </w:r>
      <w:proofErr w:type="gramEnd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 complican el escenario próspero de la economía mundial. Eventos como el alza de las tasas de interés del FED; el anuncio de otras dos alzas durante el 2018 (en setiembre y diciembre) y dos más en el 2019 (marzo y junio); con la consecuencia de incrementos en las tasas de interés del resto del mundo; el impacto de eso sobre el tipo de cambio del resto del mundo; y el impacto adverso sobre la tasa de inversión y consumo del resto del mundo amen del incremento en las tensiones geopolíticas provocadas por acciones de EEUU en Medio Oriente y en el Caribe; en Corea del Norte; y su política migratoria, significan riesgos altísimos para la economía mundial. Junto a la baja de inversión y consumo viene el alza del precio del petróleo y del costo de la mano de obra. Eso para la economía mundial y para las bolsas de valores importantes, tiene un signo negativo.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> 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Las primeras reacciones a la esquizofrenia de </w:t>
      </w:r>
      <w:proofErr w:type="gramStart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EEUU</w:t>
      </w:r>
      <w:proofErr w:type="gramEnd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 han sido: Europa normalizó la política monetaria para terminar con el “</w:t>
      </w:r>
      <w:proofErr w:type="spellStart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quick</w:t>
      </w:r>
      <w:proofErr w:type="spellEnd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 </w:t>
      </w:r>
      <w:proofErr w:type="spellStart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easing</w:t>
      </w:r>
      <w:proofErr w:type="spellEnd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”; con un proceso gradual, para alcanzar sus objetivos de inflación. Ante las variaciones de la tasa de interés de referencia de la Fed, los Bancos Centrales latinoamericanos tuvieron reacciones contrarias: México, Argentina y Ecuador la aumentaron, mientras Brasil, Perú y Colombia la disminuyeron (ver cuadro 1), pero tarde o temprano los aumentos obligarán a los países emergentes a incrementar sus respectivas tasas.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"/>
      </w:tblGrid>
      <w:tr w:rsidR="00274980" w:rsidRPr="00274980" w:rsidTr="00274980">
        <w:trPr>
          <w:gridAfter w:val="1"/>
          <w:tblCellSpacing w:w="0" w:type="dxa"/>
        </w:trPr>
        <w:tc>
          <w:tcPr>
            <w:tcW w:w="1020" w:type="dxa"/>
            <w:vAlign w:val="center"/>
            <w:hideMark/>
          </w:tcPr>
          <w:p w:rsidR="00274980" w:rsidRPr="00274980" w:rsidRDefault="00274980" w:rsidP="0027498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es-UY"/>
              </w:rPr>
            </w:pPr>
          </w:p>
        </w:tc>
      </w:tr>
      <w:tr w:rsidR="00274980" w:rsidRPr="00274980" w:rsidTr="00274980">
        <w:trPr>
          <w:tblCellSpacing w:w="0" w:type="dxa"/>
        </w:trPr>
        <w:tc>
          <w:tcPr>
            <w:tcW w:w="0" w:type="auto"/>
            <w:vAlign w:val="center"/>
            <w:hideMark/>
          </w:tcPr>
          <w:p w:rsidR="00274980" w:rsidRPr="00274980" w:rsidRDefault="00274980" w:rsidP="002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0" w:type="auto"/>
            <w:vAlign w:val="center"/>
            <w:hideMark/>
          </w:tcPr>
          <w:p w:rsidR="00274980" w:rsidRPr="00274980" w:rsidRDefault="00274980" w:rsidP="002749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</w:p>
        </w:tc>
      </w:tr>
    </w:tbl>
    <w:p w:rsidR="00274980" w:rsidRPr="00274980" w:rsidRDefault="00274980" w:rsidP="0027498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  <w:br w:type="textWrapping" w:clear="all"/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 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Los efectos de la política proteccionista de </w:t>
      </w:r>
      <w:proofErr w:type="gramStart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EEUU</w:t>
      </w:r>
      <w:proofErr w:type="gramEnd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 son igual o más preocupantes. El TLCAN parece con menos posibilidad de sobrevivir frente a la imposición de aranceles al acero y al aluminio de 25% y 10%. México, respondió con aranceles a productos como aceros planos y embutidos; y amenazó sobre productos esenciales como soja y maíz. Canadá, el más afectado por las medidas, se dispuso a imponer aranceles sobre las compras de bienes por un valor de 12,800 millones de dólares. Por si fuera poco, la tensión entre EUA y Canadá creció después de la reunión del G-7 en Quebec, por las nocivas declaraciones del asesor económico Peter Navarro. (ver </w:t>
      </w:r>
      <w:hyperlink r:id="rId4" w:tgtFrame="_blank" w:history="1">
        <w:r w:rsidRPr="00274980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val="es-MX" w:eastAsia="es-UY"/>
          </w:rPr>
          <w:t>http://obela.org/analisis/el-final-de-la-era-multilateral</w:t>
        </w:r>
      </w:hyperlink>
      <w:r w:rsidRPr="0027498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s-MX" w:eastAsia="es-UY"/>
        </w:rPr>
        <w:t>).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lastRenderedPageBreak/>
        <w:t> 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La Unión Europea respondió con impuestos del 25% sobre productos de consumo y agrícolas. A lo cual </w:t>
      </w:r>
      <w:proofErr w:type="gramStart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EEUU</w:t>
      </w:r>
      <w:proofErr w:type="gramEnd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 ha amenazado con aplicar una segunda ronda de represalias con un arancel del 20% a las importaciones de coches provenientes de Europa.  Ha amenazado, también, a las importaciones de vehículos y autopartes de México, Canadá y Japón en un escenario abierto de guerra comercial.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> 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La relación entre China y </w:t>
      </w:r>
      <w:proofErr w:type="gramStart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EEUU</w:t>
      </w:r>
      <w:proofErr w:type="gramEnd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 es cada vez más hostil. Después que el secretario del Tesoro estadounidense, Steven </w:t>
      </w:r>
      <w:proofErr w:type="spellStart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Mnuchin</w:t>
      </w:r>
      <w:proofErr w:type="spellEnd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, confirmara que entre ambos países se había acordado la suspensión de aranceles, impusieron aranceles de entre 15% y 25% a más de 1,000 productos provenientes de China, por $50,000 </w:t>
      </w:r>
      <w:proofErr w:type="spellStart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mdd</w:t>
      </w:r>
      <w:proofErr w:type="spellEnd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. relativos a medicamentos y tecnología. La retaliación China fue tasas del 25% sobre 659 productos agrícolas, entre los que destacan la soja, el maíz, arroz, res y cerdo. A lo cual </w:t>
      </w:r>
      <w:proofErr w:type="gramStart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EEUU</w:t>
      </w:r>
      <w:proofErr w:type="gramEnd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 reaccionó en una segunda ronda de alzas con aranceles por $200,000 </w:t>
      </w:r>
      <w:proofErr w:type="spellStart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mdd</w:t>
      </w:r>
      <w:proofErr w:type="spellEnd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. La segunda retaliación China ha sido anular las negociaciones hechas con </w:t>
      </w:r>
      <w:proofErr w:type="gramStart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EEUU</w:t>
      </w:r>
      <w:proofErr w:type="gramEnd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, y asegurar que responderá con represalias proporcionales.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> 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La política del gobierno del presidente Donald Trump no ha parecido responder a las necesidades de largo plazo de la economía estadounidense. Tratar de resolver su prolongado estancamiento económico con incrementos de la tasa de referencia, hasta llegar al 3.5% en 2019 o extenderlo hasta 2020 al 4%. Esto afectará más el comercio internacional, y el dinamismo del comercio exportador con los efectos sobre sus niveles de endeudamiento externo, de por sí ya elevados. Se está provocando depreciaciones en las monedas con inherente volatilidad y contracción de sus mercados, como ya se ha visto en Brasil, México y Argentina.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> 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Todo esto derivará en incrementos mayores de sus tasas de interés en las economías emergentes, con lo que se estancarán los componentes de demanda agregada y generarán una desaceleración del crecimiento económico regional y mundial. </w:t>
      </w:r>
      <w:proofErr w:type="gramStart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EEUU</w:t>
      </w:r>
      <w:proofErr w:type="gramEnd"/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 xml:space="preserve"> está jugando, solo y a la fuerza, a recolocarse como el país líder a costa de todo y de todos. Sin embargo, no está enfrentando el problema central: el cambio tecnológico y su falta de competitividad. El déficit comercial estadounidense es fruto de esto y no es culpa del resto del mundo.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 </w:t>
      </w:r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s-MX" w:eastAsia="es-UY"/>
        </w:rPr>
        <w:t> </w:t>
      </w:r>
    </w:p>
    <w:p w:rsidR="00274980" w:rsidRPr="00274980" w:rsidRDefault="00274980" w:rsidP="0027498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val="es-MX" w:eastAsia="es-UY"/>
        </w:rPr>
        <w:t>Oscar Ugarteche</w:t>
      </w:r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 xml:space="preserve"> es investigador Titular “C”, </w:t>
      </w:r>
      <w:proofErr w:type="spellStart"/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>IIEc</w:t>
      </w:r>
      <w:proofErr w:type="spellEnd"/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>-UNAM, SNI II, Coordinador Proyecto </w:t>
      </w:r>
      <w:hyperlink r:id="rId5" w:tgtFrame="_blank" w:history="1">
        <w:r w:rsidRPr="00274980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val="es-MX" w:eastAsia="es-UY"/>
          </w:rPr>
          <w:t>obela.org</w:t>
        </w:r>
      </w:hyperlink>
    </w:p>
    <w:p w:rsidR="00274980" w:rsidRPr="00274980" w:rsidRDefault="00274980" w:rsidP="0027498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val="es-MX" w:eastAsia="es-UY"/>
        </w:rPr>
        <w:t>Priscila Lechuga</w:t>
      </w:r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 xml:space="preserve"> es Técnico Académico </w:t>
      </w:r>
      <w:proofErr w:type="spellStart"/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>IIEc</w:t>
      </w:r>
      <w:proofErr w:type="spellEnd"/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>-UNAM, Miembro el Proyecto </w:t>
      </w:r>
      <w:hyperlink r:id="rId6" w:tgtFrame="_blank" w:history="1">
        <w:r w:rsidRPr="00274980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val="es-MX" w:eastAsia="es-UY"/>
          </w:rPr>
          <w:t>obela.org</w:t>
        </w:r>
      </w:hyperlink>
    </w:p>
    <w:p w:rsidR="00274980" w:rsidRPr="00274980" w:rsidRDefault="00274980" w:rsidP="0027498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val="es-MX" w:eastAsia="es-UY"/>
        </w:rPr>
        <w:t>Armando Negrete</w:t>
      </w:r>
      <w:r w:rsidRPr="0027498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s-MX" w:eastAsia="es-UY"/>
        </w:rPr>
        <w:t> es m</w:t>
      </w:r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>iembro del proyecto OBELA</w:t>
      </w:r>
    </w:p>
    <w:p w:rsidR="00274980" w:rsidRPr="00274980" w:rsidRDefault="00274980" w:rsidP="0027498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> </w:t>
      </w:r>
    </w:p>
    <w:p w:rsidR="00274980" w:rsidRPr="00274980" w:rsidRDefault="00274980" w:rsidP="0027498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> </w:t>
      </w:r>
    </w:p>
    <w:p w:rsidR="00274980" w:rsidRPr="00274980" w:rsidRDefault="00274980" w:rsidP="0027498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>URL de este artículo: </w:t>
      </w:r>
      <w:hyperlink r:id="rId7" w:tgtFrame="_blank" w:history="1">
        <w:r w:rsidRPr="00274980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val="es-MX" w:eastAsia="es-UY"/>
          </w:rPr>
          <w:t>https://www.alainet.org/es/articulo/193703</w:t>
        </w:r>
      </w:hyperlink>
    </w:p>
    <w:p w:rsidR="00274980" w:rsidRPr="00274980" w:rsidRDefault="00274980" w:rsidP="002749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s-UY"/>
        </w:rPr>
      </w:pPr>
      <w:r w:rsidRPr="002749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MX" w:eastAsia="es-UY"/>
        </w:rPr>
        <w:t> 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80"/>
    <w:rsid w:val="00274980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2DDC4-6E1A-4980-AA08-5D01C5D9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lainet.org/es/articulo/1937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ela.org/" TargetMode="External"/><Relationship Id="rId5" Type="http://schemas.openxmlformats.org/officeDocument/2006/relationships/hyperlink" Target="http://obela.org/" TargetMode="External"/><Relationship Id="rId4" Type="http://schemas.openxmlformats.org/officeDocument/2006/relationships/hyperlink" Target="http://obela.org/analisis/el-final-de-la-era-multilater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2018-06-25T20:29:00Z</dcterms:created>
  <dcterms:modified xsi:type="dcterms:W3CDTF">2018-06-25T20:30:00Z</dcterms:modified>
</cp:coreProperties>
</file>