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8E" w:rsidRPr="00031E94" w:rsidRDefault="005E52EE" w:rsidP="00344300">
      <w:pPr>
        <w:jc w:val="center"/>
        <w:rPr>
          <w:rFonts w:cs="Arial"/>
          <w:b/>
        </w:rPr>
      </w:pPr>
      <w:bookmarkStart w:id="0" w:name="_GoBack"/>
      <w:bookmarkEnd w:id="0"/>
      <w:r w:rsidRPr="00031E94">
        <w:rPr>
          <w:rFonts w:cs="Arial"/>
          <w:b/>
        </w:rPr>
        <w:t>Derechos campesinos:</w:t>
      </w:r>
      <w:r w:rsidR="00344300" w:rsidRPr="00031E94">
        <w:rPr>
          <w:rFonts w:cs="Arial"/>
          <w:b/>
        </w:rPr>
        <w:t xml:space="preserve"> lucha contrahegemónica de La Vía Campesina.</w:t>
      </w:r>
    </w:p>
    <w:p w:rsidR="00344300" w:rsidRPr="00031E94" w:rsidRDefault="00344300" w:rsidP="00344300">
      <w:pPr>
        <w:jc w:val="center"/>
        <w:rPr>
          <w:rFonts w:cs="Arial"/>
          <w:b/>
        </w:rPr>
      </w:pPr>
      <w:r w:rsidRPr="00031E94">
        <w:rPr>
          <w:rFonts w:cs="Arial"/>
          <w:b/>
        </w:rPr>
        <w:t>Oscar Soto</w:t>
      </w:r>
    </w:p>
    <w:p w:rsidR="00344300" w:rsidRPr="00031E94" w:rsidRDefault="00344300" w:rsidP="00344300">
      <w:pPr>
        <w:jc w:val="center"/>
        <w:rPr>
          <w:rFonts w:cs="Arial"/>
          <w:b/>
        </w:rPr>
      </w:pPr>
      <w:r w:rsidRPr="00031E94">
        <w:rPr>
          <w:rFonts w:cs="Arial"/>
          <w:b/>
          <w:noProof/>
          <w:lang w:eastAsia="es-AR"/>
        </w:rPr>
        <w:drawing>
          <wp:inline distT="0" distB="0" distL="0" distR="0">
            <wp:extent cx="5003321" cy="3656534"/>
            <wp:effectExtent l="0" t="0" r="698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hos Campesin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600" cy="365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300" w:rsidRPr="00031E94" w:rsidRDefault="00344300" w:rsidP="0032258E">
      <w:pPr>
        <w:jc w:val="both"/>
        <w:rPr>
          <w:rFonts w:cs="Arial"/>
        </w:rPr>
      </w:pPr>
      <w:r w:rsidRPr="00031E94">
        <w:rPr>
          <w:rFonts w:cs="Arial"/>
        </w:rPr>
        <w:t xml:space="preserve">El trabajo del movimiento campesino internacional por el derecho a la Tierra, el agua, las semillas y la soberanía alimentaria junto con la lucha por la reforma agraria popular, encarna en las organizaciones de La Vía Campesina uno de los símbolos de resistencia y lucha contrahegemónica más firme por parte de los movimientos sociales a escala global. </w:t>
      </w:r>
    </w:p>
    <w:p w:rsidR="008054BA" w:rsidRPr="00031E94" w:rsidRDefault="00344300" w:rsidP="0032258E">
      <w:pPr>
        <w:jc w:val="both"/>
        <w:rPr>
          <w:rFonts w:cs="Arial"/>
        </w:rPr>
      </w:pPr>
      <w:r w:rsidRPr="00031E94">
        <w:rPr>
          <w:rFonts w:cs="Arial"/>
        </w:rPr>
        <w:t>A la globalización de la miseria y la desigualdad, La Vía Campesina opone la internacionalización de la lucha y la esperanza.</w:t>
      </w:r>
    </w:p>
    <w:p w:rsidR="00344300" w:rsidRPr="00031E94" w:rsidRDefault="00344300" w:rsidP="0032258E">
      <w:pPr>
        <w:jc w:val="both"/>
        <w:rPr>
          <w:rFonts w:cs="Arial"/>
          <w:b/>
        </w:rPr>
      </w:pPr>
      <w:r w:rsidRPr="00031E94">
        <w:rPr>
          <w:rFonts w:cs="Arial"/>
          <w:b/>
        </w:rPr>
        <w:t>Neoliberalismo y cuestión rural</w:t>
      </w:r>
    </w:p>
    <w:p w:rsidR="0032258E" w:rsidRPr="00031E94" w:rsidRDefault="00BD6190" w:rsidP="0032258E">
      <w:pPr>
        <w:jc w:val="both"/>
        <w:rPr>
          <w:rFonts w:cs="Arial"/>
        </w:rPr>
      </w:pPr>
      <w:r w:rsidRPr="00031E94">
        <w:rPr>
          <w:rFonts w:cs="Arial"/>
        </w:rPr>
        <w:t xml:space="preserve">El recorrido histórico que transita el sistema económico </w:t>
      </w:r>
      <w:r w:rsidR="00344300" w:rsidRPr="00031E94">
        <w:rPr>
          <w:rFonts w:cs="Arial"/>
        </w:rPr>
        <w:t xml:space="preserve">a nivel </w:t>
      </w:r>
      <w:r w:rsidRPr="00031E94">
        <w:rPr>
          <w:rFonts w:cs="Arial"/>
        </w:rPr>
        <w:t>general des</w:t>
      </w:r>
      <w:r w:rsidR="00795FC0" w:rsidRPr="00031E94">
        <w:rPr>
          <w:rFonts w:cs="Arial"/>
        </w:rPr>
        <w:t>de los años set</w:t>
      </w:r>
      <w:r w:rsidRPr="00031E94">
        <w:rPr>
          <w:rFonts w:cs="Arial"/>
        </w:rPr>
        <w:t>enta en adelante, conocido con el nombre de “globalización”</w:t>
      </w:r>
      <w:r w:rsidR="00173321" w:rsidRPr="00031E94">
        <w:rPr>
          <w:rFonts w:cs="Arial"/>
        </w:rPr>
        <w:t>, se ha caracterizado -entre otras cosas-</w:t>
      </w:r>
      <w:r w:rsidR="00C71B2E" w:rsidRPr="00031E94">
        <w:rPr>
          <w:rFonts w:cs="Arial"/>
        </w:rPr>
        <w:t xml:space="preserve"> por el </w:t>
      </w:r>
      <w:r w:rsidR="00C30F73" w:rsidRPr="00031E94">
        <w:rPr>
          <w:rFonts w:cs="Arial"/>
        </w:rPr>
        <w:t>desmembramiento que se produjo</w:t>
      </w:r>
      <w:r w:rsidR="00173321" w:rsidRPr="00031E94">
        <w:rPr>
          <w:rFonts w:cs="Arial"/>
        </w:rPr>
        <w:t xml:space="preserve"> de los Estados de B</w:t>
      </w:r>
      <w:r w:rsidR="00C71B2E" w:rsidRPr="00031E94">
        <w:rPr>
          <w:rFonts w:cs="Arial"/>
        </w:rPr>
        <w:t>ienestar en el centro y los proyectos de desarrollo naci</w:t>
      </w:r>
      <w:r w:rsidR="00173321" w:rsidRPr="00031E94">
        <w:rPr>
          <w:rFonts w:cs="Arial"/>
        </w:rPr>
        <w:t>onal en las periferias,</w:t>
      </w:r>
      <w:r w:rsidR="00C30F73" w:rsidRPr="00031E94">
        <w:rPr>
          <w:rFonts w:cs="Arial"/>
        </w:rPr>
        <w:t xml:space="preserve"> frente al</w:t>
      </w:r>
      <w:r w:rsidR="007762C8" w:rsidRPr="00031E94">
        <w:rPr>
          <w:rFonts w:cs="Arial"/>
        </w:rPr>
        <w:t xml:space="preserve"> constante</w:t>
      </w:r>
      <w:r w:rsidR="00C30F73" w:rsidRPr="00031E94">
        <w:rPr>
          <w:rFonts w:cs="Arial"/>
        </w:rPr>
        <w:t xml:space="preserve"> avance de </w:t>
      </w:r>
      <w:r w:rsidR="00C71B2E" w:rsidRPr="00031E94">
        <w:rPr>
          <w:rFonts w:cs="Arial"/>
        </w:rPr>
        <w:t>la desregulación</w:t>
      </w:r>
      <w:r w:rsidR="007762C8" w:rsidRPr="00031E94">
        <w:rPr>
          <w:rFonts w:cs="Arial"/>
        </w:rPr>
        <w:t xml:space="preserve"> financiera</w:t>
      </w:r>
      <w:r w:rsidR="00C71B2E" w:rsidRPr="00031E94">
        <w:rPr>
          <w:rFonts w:cs="Arial"/>
        </w:rPr>
        <w:t xml:space="preserve"> global. </w:t>
      </w:r>
      <w:r w:rsidR="00C30F73" w:rsidRPr="00031E94">
        <w:rPr>
          <w:rFonts w:cs="Arial"/>
        </w:rPr>
        <w:t xml:space="preserve">En ese descalabro de las relaciones capitalistas entre </w:t>
      </w:r>
      <w:r w:rsidR="00E34585" w:rsidRPr="00031E94">
        <w:rPr>
          <w:rFonts w:cs="Arial"/>
        </w:rPr>
        <w:t xml:space="preserve">el </w:t>
      </w:r>
      <w:r w:rsidR="00C67207" w:rsidRPr="00031E94">
        <w:rPr>
          <w:rFonts w:cs="Arial"/>
        </w:rPr>
        <w:t>norte y el sur</w:t>
      </w:r>
      <w:r w:rsidR="00C30F73" w:rsidRPr="00031E94">
        <w:rPr>
          <w:rFonts w:cs="Arial"/>
        </w:rPr>
        <w:t xml:space="preserve">, las promesas </w:t>
      </w:r>
      <w:r w:rsidR="00795FC0" w:rsidRPr="00031E94">
        <w:rPr>
          <w:rFonts w:cs="Arial"/>
        </w:rPr>
        <w:t>políticas</w:t>
      </w:r>
      <w:r w:rsidR="00C30F73" w:rsidRPr="00031E94">
        <w:rPr>
          <w:rFonts w:cs="Arial"/>
        </w:rPr>
        <w:t xml:space="preserve"> de </w:t>
      </w:r>
      <w:r w:rsidR="00795FC0" w:rsidRPr="00031E94">
        <w:rPr>
          <w:rFonts w:cs="Arial"/>
        </w:rPr>
        <w:t xml:space="preserve">la posguerra viraron </w:t>
      </w:r>
      <w:r w:rsidR="00C30F73" w:rsidRPr="00031E94">
        <w:rPr>
          <w:rFonts w:cs="Arial"/>
        </w:rPr>
        <w:t xml:space="preserve">oficialismo </w:t>
      </w:r>
      <w:r w:rsidR="00795FC0" w:rsidRPr="00031E94">
        <w:rPr>
          <w:rFonts w:cs="Arial"/>
        </w:rPr>
        <w:t>económico</w:t>
      </w:r>
      <w:r w:rsidR="00C30F73" w:rsidRPr="00031E94">
        <w:rPr>
          <w:rFonts w:cs="Arial"/>
        </w:rPr>
        <w:t xml:space="preserve">, al tiempo que se ofrecían como la salida </w:t>
      </w:r>
      <w:r w:rsidR="000059D3" w:rsidRPr="00031E94">
        <w:rPr>
          <w:rFonts w:cs="Arial"/>
        </w:rPr>
        <w:t>al colapso mundi</w:t>
      </w:r>
      <w:r w:rsidR="00C30F73" w:rsidRPr="00031E94">
        <w:rPr>
          <w:rFonts w:cs="Arial"/>
        </w:rPr>
        <w:t>al. La me</w:t>
      </w:r>
      <w:r w:rsidR="009B7CE9" w:rsidRPr="00031E94">
        <w:rPr>
          <w:rFonts w:cs="Arial"/>
        </w:rPr>
        <w:t>n</w:t>
      </w:r>
      <w:r w:rsidR="00C30F73" w:rsidRPr="00031E94">
        <w:rPr>
          <w:rFonts w:cs="Arial"/>
        </w:rPr>
        <w:t>tada “revolución verde”</w:t>
      </w:r>
      <w:r w:rsidR="009B7CE9" w:rsidRPr="00031E94">
        <w:rPr>
          <w:rFonts w:cs="Arial"/>
        </w:rPr>
        <w:t xml:space="preserve"> fue un ejemplo latente de esto</w:t>
      </w:r>
      <w:r w:rsidR="00C30F73" w:rsidRPr="00031E94">
        <w:rPr>
          <w:rFonts w:cs="Arial"/>
        </w:rPr>
        <w:t>.</w:t>
      </w:r>
      <w:r w:rsidR="0032258E" w:rsidRPr="00031E94">
        <w:rPr>
          <w:rFonts w:cs="Arial"/>
        </w:rPr>
        <w:t xml:space="preserve"> </w:t>
      </w:r>
    </w:p>
    <w:p w:rsidR="0032258E" w:rsidRPr="00031E94" w:rsidRDefault="0032258E" w:rsidP="0032258E">
      <w:pPr>
        <w:jc w:val="both"/>
        <w:rPr>
          <w:rFonts w:cs="Arial"/>
        </w:rPr>
      </w:pPr>
      <w:r w:rsidRPr="00031E94">
        <w:rPr>
          <w:rFonts w:cs="Arial"/>
        </w:rPr>
        <w:t xml:space="preserve">Lo ocurrido </w:t>
      </w:r>
      <w:r w:rsidR="009B7CE9" w:rsidRPr="00031E94">
        <w:rPr>
          <w:rFonts w:cs="Arial"/>
        </w:rPr>
        <w:t>en e</w:t>
      </w:r>
      <w:r w:rsidR="000059D3" w:rsidRPr="00031E94">
        <w:rPr>
          <w:rFonts w:cs="Arial"/>
        </w:rPr>
        <w:t>l S</w:t>
      </w:r>
      <w:r w:rsidR="009B7CE9" w:rsidRPr="00031E94">
        <w:rPr>
          <w:rFonts w:cs="Arial"/>
        </w:rPr>
        <w:t xml:space="preserve">ur </w:t>
      </w:r>
      <w:r w:rsidRPr="00031E94">
        <w:rPr>
          <w:rFonts w:cs="Arial"/>
        </w:rPr>
        <w:t>a partir del lineamiento neoliberal de la economía capitalista</w:t>
      </w:r>
      <w:r w:rsidR="008054BA" w:rsidRPr="00031E94">
        <w:rPr>
          <w:rFonts w:cs="Arial"/>
        </w:rPr>
        <w:t>,</w:t>
      </w:r>
      <w:r w:rsidRPr="00031E94">
        <w:rPr>
          <w:rFonts w:cs="Arial"/>
        </w:rPr>
        <w:t xml:space="preserve"> ha operado con fuerza en los territorios históricamente colonizados</w:t>
      </w:r>
      <w:r w:rsidR="00795FC0" w:rsidRPr="00031E94">
        <w:rPr>
          <w:rFonts w:cs="Arial"/>
        </w:rPr>
        <w:t>. A</w:t>
      </w:r>
      <w:r w:rsidR="008054BA" w:rsidRPr="00031E94">
        <w:rPr>
          <w:rFonts w:cs="Arial"/>
        </w:rPr>
        <w:t xml:space="preserve"> partir de </w:t>
      </w:r>
      <w:r w:rsidR="009B7CE9" w:rsidRPr="00031E94">
        <w:rPr>
          <w:rFonts w:cs="Arial"/>
        </w:rPr>
        <w:t xml:space="preserve">que se profundiza </w:t>
      </w:r>
      <w:r w:rsidR="008054BA" w:rsidRPr="00031E94">
        <w:rPr>
          <w:rFonts w:cs="Arial"/>
        </w:rPr>
        <w:t>la</w:t>
      </w:r>
      <w:r w:rsidRPr="00031E94">
        <w:rPr>
          <w:rFonts w:cs="Arial"/>
        </w:rPr>
        <w:t xml:space="preserve"> separación entre los y las productoras ance</w:t>
      </w:r>
      <w:r w:rsidR="009B7CE9" w:rsidRPr="00031E94">
        <w:rPr>
          <w:rFonts w:cs="Arial"/>
        </w:rPr>
        <w:t xml:space="preserve">strales que trabajan la tierra -fundamentalmente las mujeres- </w:t>
      </w:r>
      <w:r w:rsidRPr="00031E94">
        <w:rPr>
          <w:rFonts w:cs="Arial"/>
        </w:rPr>
        <w:t>y su espacio vital de acción y re</w:t>
      </w:r>
      <w:r w:rsidR="00795FC0" w:rsidRPr="00031E94">
        <w:rPr>
          <w:rFonts w:cs="Arial"/>
        </w:rPr>
        <w:t xml:space="preserve">creación rural, </w:t>
      </w:r>
      <w:r w:rsidR="008054BA" w:rsidRPr="00031E94">
        <w:rPr>
          <w:rFonts w:cs="Arial"/>
        </w:rPr>
        <w:t>América</w:t>
      </w:r>
      <w:r w:rsidR="00795FC0" w:rsidRPr="00031E94">
        <w:rPr>
          <w:rFonts w:cs="Arial"/>
        </w:rPr>
        <w:t xml:space="preserve"> Latina se convirtió en un emblema</w:t>
      </w:r>
      <w:r w:rsidR="007762C8" w:rsidRPr="00031E94">
        <w:rPr>
          <w:rFonts w:cs="Arial"/>
        </w:rPr>
        <w:t xml:space="preserve"> de este nuevo paradigma</w:t>
      </w:r>
      <w:r w:rsidR="001F3179" w:rsidRPr="00031E94">
        <w:rPr>
          <w:rFonts w:cs="Arial"/>
        </w:rPr>
        <w:t xml:space="preserve">. </w:t>
      </w:r>
      <w:r w:rsidR="008054BA" w:rsidRPr="00031E94">
        <w:rPr>
          <w:rFonts w:cs="Arial"/>
        </w:rPr>
        <w:t xml:space="preserve">La consiguiente mercantilización </w:t>
      </w:r>
      <w:r w:rsidRPr="00031E94">
        <w:rPr>
          <w:rFonts w:cs="Arial"/>
        </w:rPr>
        <w:t>de las relaciones sociales</w:t>
      </w:r>
      <w:r w:rsidR="009B7CE9" w:rsidRPr="00031E94">
        <w:rPr>
          <w:rFonts w:cs="Arial"/>
        </w:rPr>
        <w:t xml:space="preserve"> en este periodo</w:t>
      </w:r>
      <w:r w:rsidRPr="00031E94">
        <w:rPr>
          <w:rFonts w:cs="Arial"/>
        </w:rPr>
        <w:t xml:space="preserve">, desde </w:t>
      </w:r>
      <w:r w:rsidRPr="00031E94">
        <w:rPr>
          <w:rFonts w:cs="Arial"/>
        </w:rPr>
        <w:lastRenderedPageBreak/>
        <w:t>indígenas primero a trabajadores rurales lu</w:t>
      </w:r>
      <w:r w:rsidR="009B7CE9" w:rsidRPr="00031E94">
        <w:rPr>
          <w:rFonts w:cs="Arial"/>
        </w:rPr>
        <w:t xml:space="preserve">ego, </w:t>
      </w:r>
      <w:r w:rsidRPr="00031E94">
        <w:rPr>
          <w:rFonts w:cs="Arial"/>
        </w:rPr>
        <w:t>acelera la “articulación de todas las formas históricas de control del trabajo, de sus recursos y de sus productos, en torno del capital y del merc</w:t>
      </w:r>
      <w:r w:rsidR="008054BA" w:rsidRPr="00031E94">
        <w:rPr>
          <w:rFonts w:cs="Arial"/>
        </w:rPr>
        <w:t>ado mundial”</w:t>
      </w:r>
      <w:r w:rsidR="000B51BC" w:rsidRPr="00031E94">
        <w:rPr>
          <w:rStyle w:val="Refdenotaalfinal"/>
          <w:rFonts w:cs="Arial"/>
        </w:rPr>
        <w:endnoteReference w:id="1"/>
      </w:r>
      <w:r w:rsidRPr="00031E94">
        <w:rPr>
          <w:rFonts w:cs="Arial"/>
        </w:rPr>
        <w:t xml:space="preserve">. </w:t>
      </w:r>
      <w:r w:rsidR="00C67207" w:rsidRPr="00031E94">
        <w:rPr>
          <w:rFonts w:cs="Arial"/>
        </w:rPr>
        <w:t xml:space="preserve">De alguna manera, </w:t>
      </w:r>
      <w:r w:rsidR="008054BA" w:rsidRPr="00031E94">
        <w:rPr>
          <w:rFonts w:cs="Arial"/>
        </w:rPr>
        <w:t>e</w:t>
      </w:r>
      <w:r w:rsidRPr="00031E94">
        <w:rPr>
          <w:rFonts w:cs="Arial"/>
        </w:rPr>
        <w:t xml:space="preserve">n un mundo en el cual el 92,3 % del total de la producción agrícola pertenece a unidades campesinas-indígenas, siendo que éstos solo ocupan el 24,7 % del total de tierras, </w:t>
      </w:r>
      <w:r w:rsidR="00031E94" w:rsidRPr="00031E94">
        <w:rPr>
          <w:rFonts w:cs="Arial"/>
        </w:rPr>
        <w:t>Latinoamérica</w:t>
      </w:r>
      <w:r w:rsidRPr="00031E94">
        <w:rPr>
          <w:rFonts w:cs="Arial"/>
        </w:rPr>
        <w:t xml:space="preserve"> da cuenta de lo que efectivamente es un des</w:t>
      </w:r>
      <w:r w:rsidR="009B7CE9" w:rsidRPr="00031E94">
        <w:rPr>
          <w:rFonts w:cs="Arial"/>
        </w:rPr>
        <w:t>pojo</w:t>
      </w:r>
      <w:r w:rsidRPr="00031E94">
        <w:rPr>
          <w:rFonts w:cs="Arial"/>
        </w:rPr>
        <w:t xml:space="preserve"> explícito: 80% de las unidades agrícolas son campesinas e indígenas en la región, siendo solo un 19% el índice de ocupación real de esas tierras</w:t>
      </w:r>
      <w:r w:rsidR="00182B7E" w:rsidRPr="00031E94">
        <w:rPr>
          <w:rStyle w:val="Refdenotaalfinal"/>
          <w:rFonts w:cs="Arial"/>
        </w:rPr>
        <w:endnoteReference w:id="2"/>
      </w:r>
      <w:r w:rsidR="00182B7E" w:rsidRPr="00031E94">
        <w:rPr>
          <w:rFonts w:cs="Arial"/>
        </w:rPr>
        <w:t>.</w:t>
      </w:r>
    </w:p>
    <w:p w:rsidR="0032258E" w:rsidRPr="00031E94" w:rsidRDefault="00C30F73" w:rsidP="0032258E">
      <w:pPr>
        <w:jc w:val="both"/>
        <w:rPr>
          <w:rFonts w:cs="Arial"/>
        </w:rPr>
      </w:pPr>
      <w:r w:rsidRPr="00031E94">
        <w:rPr>
          <w:rFonts w:cs="Arial"/>
        </w:rPr>
        <w:t xml:space="preserve">La </w:t>
      </w:r>
      <w:r w:rsidR="008054BA" w:rsidRPr="00031E94">
        <w:rPr>
          <w:rFonts w:cs="Arial"/>
        </w:rPr>
        <w:t xml:space="preserve">fragmentación </w:t>
      </w:r>
      <w:r w:rsidRPr="00031E94">
        <w:rPr>
          <w:rFonts w:cs="Arial"/>
        </w:rPr>
        <w:t>de las relaciones agrarias, sumada al imperativo exportador y los intereses de la “</w:t>
      </w:r>
      <w:r w:rsidR="00173321" w:rsidRPr="00031E94">
        <w:rPr>
          <w:rFonts w:cs="Arial"/>
        </w:rPr>
        <w:t>d</w:t>
      </w:r>
      <w:r w:rsidRPr="00031E94">
        <w:rPr>
          <w:rFonts w:cs="Arial"/>
        </w:rPr>
        <w:t>euda”</w:t>
      </w:r>
      <w:r w:rsidR="008054BA" w:rsidRPr="00031E94">
        <w:rPr>
          <w:rFonts w:cs="Arial"/>
        </w:rPr>
        <w:t xml:space="preserve">, </w:t>
      </w:r>
      <w:r w:rsidRPr="00031E94">
        <w:rPr>
          <w:rFonts w:cs="Arial"/>
        </w:rPr>
        <w:t>articularon la hegemonía estadounidense y el deterioro del sur global desde fines de siglo XX</w:t>
      </w:r>
      <w:r w:rsidR="008054BA" w:rsidRPr="00031E94">
        <w:rPr>
          <w:rFonts w:cs="Arial"/>
        </w:rPr>
        <w:t xml:space="preserve"> a esta parte</w:t>
      </w:r>
      <w:r w:rsidRPr="00031E94">
        <w:rPr>
          <w:rFonts w:cs="Arial"/>
        </w:rPr>
        <w:t>.</w:t>
      </w:r>
      <w:r w:rsidR="00173321" w:rsidRPr="00031E94">
        <w:rPr>
          <w:rFonts w:cs="Arial"/>
        </w:rPr>
        <w:t xml:space="preserve"> Países latinoamericanos, africanos, asiáticos </w:t>
      </w:r>
      <w:r w:rsidR="0032258E" w:rsidRPr="00031E94">
        <w:rPr>
          <w:rFonts w:cs="Arial"/>
        </w:rPr>
        <w:t>han sido testigos, por un lado, de cómo el capitalismo ha subordinado a los territorios</w:t>
      </w:r>
      <w:r w:rsidR="000059D3" w:rsidRPr="00031E94">
        <w:rPr>
          <w:rFonts w:cs="Arial"/>
        </w:rPr>
        <w:t xml:space="preserve"> rurales, </w:t>
      </w:r>
      <w:r w:rsidR="008054BA" w:rsidRPr="00031E94">
        <w:rPr>
          <w:rFonts w:cs="Arial"/>
        </w:rPr>
        <w:t>en tanto por otra parte</w:t>
      </w:r>
      <w:r w:rsidR="0032258E" w:rsidRPr="00031E94">
        <w:rPr>
          <w:rFonts w:cs="Arial"/>
        </w:rPr>
        <w:t xml:space="preserve"> han</w:t>
      </w:r>
      <w:r w:rsidR="007762C8" w:rsidRPr="00031E94">
        <w:rPr>
          <w:rFonts w:cs="Arial"/>
        </w:rPr>
        <w:t xml:space="preserve"> visto multiplicarse </w:t>
      </w:r>
      <w:r w:rsidR="0032258E" w:rsidRPr="00031E94">
        <w:rPr>
          <w:rFonts w:cs="Arial"/>
        </w:rPr>
        <w:t xml:space="preserve">las resistencias. </w:t>
      </w:r>
    </w:p>
    <w:p w:rsidR="001F3179" w:rsidRPr="00031E94" w:rsidRDefault="001F3179" w:rsidP="009B7CE9">
      <w:pPr>
        <w:jc w:val="both"/>
        <w:rPr>
          <w:rFonts w:cs="Arial"/>
          <w:b/>
        </w:rPr>
      </w:pPr>
      <w:r w:rsidRPr="00031E94">
        <w:rPr>
          <w:rFonts w:cs="Arial"/>
          <w:b/>
        </w:rPr>
        <w:t xml:space="preserve">La respuesta del campesinado y de los pueblos indígenas </w:t>
      </w:r>
    </w:p>
    <w:p w:rsidR="00C71B2E" w:rsidRPr="00031E94" w:rsidRDefault="00182B7E" w:rsidP="009B7CE9">
      <w:pPr>
        <w:jc w:val="both"/>
        <w:rPr>
          <w:rFonts w:cs="Arial"/>
        </w:rPr>
      </w:pPr>
      <w:r w:rsidRPr="00031E94">
        <w:rPr>
          <w:rFonts w:cs="Arial"/>
        </w:rPr>
        <w:t>La reciente aprobación</w:t>
      </w:r>
      <w:r w:rsidR="0096629B" w:rsidRPr="00031E94">
        <w:rPr>
          <w:rFonts w:cs="Arial"/>
        </w:rPr>
        <w:t xml:space="preserve"> de la Declaración de</w:t>
      </w:r>
      <w:r w:rsidR="007762C8" w:rsidRPr="00031E94">
        <w:rPr>
          <w:rFonts w:cs="Arial"/>
        </w:rPr>
        <w:t xml:space="preserve"> los Derechos </w:t>
      </w:r>
      <w:r w:rsidR="0096629B" w:rsidRPr="00031E94">
        <w:rPr>
          <w:rFonts w:cs="Arial"/>
        </w:rPr>
        <w:t>C</w:t>
      </w:r>
      <w:r w:rsidR="007762C8" w:rsidRPr="00031E94">
        <w:rPr>
          <w:rFonts w:cs="Arial"/>
        </w:rPr>
        <w:t>ampesino</w:t>
      </w:r>
      <w:r w:rsidR="0096629B" w:rsidRPr="00031E94">
        <w:rPr>
          <w:rFonts w:cs="Arial"/>
        </w:rPr>
        <w:t>s y Otras P</w:t>
      </w:r>
      <w:r w:rsidRPr="00031E94">
        <w:rPr>
          <w:rFonts w:cs="Arial"/>
        </w:rPr>
        <w:t>ersonas que</w:t>
      </w:r>
      <w:r w:rsidR="0096629B" w:rsidRPr="00031E94">
        <w:rPr>
          <w:rFonts w:cs="Arial"/>
        </w:rPr>
        <w:t xml:space="preserve"> viven y trabajan en las </w:t>
      </w:r>
      <w:r w:rsidR="00266B02" w:rsidRPr="00031E94">
        <w:rPr>
          <w:rFonts w:cs="Arial"/>
        </w:rPr>
        <w:t>Z</w:t>
      </w:r>
      <w:r w:rsidR="0096629B" w:rsidRPr="00031E94">
        <w:rPr>
          <w:rFonts w:cs="Arial"/>
        </w:rPr>
        <w:t xml:space="preserve">onas </w:t>
      </w:r>
      <w:r w:rsidR="00266B02" w:rsidRPr="00031E94">
        <w:rPr>
          <w:rFonts w:cs="Arial"/>
        </w:rPr>
        <w:t>R</w:t>
      </w:r>
      <w:r w:rsidR="0096629B" w:rsidRPr="00031E94">
        <w:rPr>
          <w:rFonts w:cs="Arial"/>
        </w:rPr>
        <w:t xml:space="preserve">urales, </w:t>
      </w:r>
      <w:r w:rsidRPr="00031E94">
        <w:rPr>
          <w:rFonts w:cs="Arial"/>
        </w:rPr>
        <w:t>aprobada con 33 votos a favor, 11 abstenciones y 3 votos en contra</w:t>
      </w:r>
      <w:r w:rsidR="0096629B" w:rsidRPr="00031E94">
        <w:rPr>
          <w:rFonts w:cs="Arial"/>
        </w:rPr>
        <w:t xml:space="preserve"> por parte de las Naciones Unidas</w:t>
      </w:r>
      <w:r w:rsidR="007762C8" w:rsidRPr="00031E94">
        <w:rPr>
          <w:rStyle w:val="Refdenotaalfinal"/>
          <w:rFonts w:cs="Arial"/>
        </w:rPr>
        <w:endnoteReference w:id="3"/>
      </w:r>
      <w:r w:rsidR="00266B02" w:rsidRPr="00031E94">
        <w:rPr>
          <w:rFonts w:cs="Arial"/>
        </w:rPr>
        <w:t>, se inscribe en la larga memoria de la resistencia campesina e indígena a niv</w:t>
      </w:r>
      <w:r w:rsidR="007762C8" w:rsidRPr="00031E94">
        <w:rPr>
          <w:rFonts w:cs="Arial"/>
        </w:rPr>
        <w:t>el internacional. D</w:t>
      </w:r>
      <w:r w:rsidR="00266B02" w:rsidRPr="00031E94">
        <w:rPr>
          <w:rFonts w:cs="Arial"/>
        </w:rPr>
        <w:t>icho e</w:t>
      </w:r>
      <w:r w:rsidR="0032258E" w:rsidRPr="00031E94">
        <w:rPr>
          <w:rFonts w:cs="Arial"/>
        </w:rPr>
        <w:t xml:space="preserve">n palabras de Diego </w:t>
      </w:r>
      <w:proofErr w:type="spellStart"/>
      <w:r w:rsidR="0032258E" w:rsidRPr="00031E94">
        <w:rPr>
          <w:rFonts w:cs="Arial"/>
        </w:rPr>
        <w:t>Monton</w:t>
      </w:r>
      <w:proofErr w:type="spellEnd"/>
      <w:r w:rsidR="0032258E" w:rsidRPr="00031E94">
        <w:rPr>
          <w:rFonts w:cs="Arial"/>
        </w:rPr>
        <w:t xml:space="preserve"> </w:t>
      </w:r>
      <w:r w:rsidR="009B7CE9" w:rsidRPr="00031E94">
        <w:rPr>
          <w:rFonts w:cs="Arial"/>
        </w:rPr>
        <w:t>-</w:t>
      </w:r>
      <w:r w:rsidR="0032258E" w:rsidRPr="00031E94">
        <w:rPr>
          <w:rFonts w:cs="Arial"/>
        </w:rPr>
        <w:t>militante de la Unión de Trabajadores Rurales Sin Tierra</w:t>
      </w:r>
      <w:r w:rsidR="006C6D54">
        <w:rPr>
          <w:rFonts w:cs="Arial"/>
        </w:rPr>
        <w:t>/</w:t>
      </w:r>
      <w:r w:rsidRPr="00031E94">
        <w:rPr>
          <w:rFonts w:cs="Arial"/>
        </w:rPr>
        <w:t>MNCI</w:t>
      </w:r>
      <w:r w:rsidR="000059D3" w:rsidRPr="00031E94">
        <w:rPr>
          <w:rFonts w:cs="Arial"/>
        </w:rPr>
        <w:t>-</w:t>
      </w:r>
      <w:r w:rsidRPr="00031E94">
        <w:rPr>
          <w:rFonts w:cs="Arial"/>
        </w:rPr>
        <w:t xml:space="preserve">, integrante de la Coordinadora Latinoamericana de Organizaciones del Campo y representante por América Latina </w:t>
      </w:r>
      <w:r w:rsidR="007762C8" w:rsidRPr="00031E94">
        <w:rPr>
          <w:rFonts w:cs="Arial"/>
        </w:rPr>
        <w:t>en el Grupo de Trabajo Intergu</w:t>
      </w:r>
      <w:r w:rsidRPr="00031E94">
        <w:rPr>
          <w:rFonts w:cs="Arial"/>
        </w:rPr>
        <w:t xml:space="preserve">bernamental para la </w:t>
      </w:r>
      <w:r w:rsidR="007762C8" w:rsidRPr="00031E94">
        <w:rPr>
          <w:rFonts w:cs="Arial"/>
        </w:rPr>
        <w:t>Declaración</w:t>
      </w:r>
      <w:r w:rsidRPr="00031E94">
        <w:rPr>
          <w:rFonts w:cs="Arial"/>
        </w:rPr>
        <w:t xml:space="preserve"> de Derechos Campesinos del Consejo de Derechos Humanos de la ONU</w:t>
      </w:r>
      <w:r w:rsidR="000059D3" w:rsidRPr="00031E94">
        <w:rPr>
          <w:rFonts w:cs="Arial"/>
        </w:rPr>
        <w:t>:</w:t>
      </w:r>
      <w:r w:rsidRPr="00031E94">
        <w:rPr>
          <w:rFonts w:cs="Arial"/>
        </w:rPr>
        <w:t xml:space="preserve"> “</w:t>
      </w:r>
      <w:r w:rsidR="0032258E" w:rsidRPr="00031E94">
        <w:rPr>
          <w:rFonts w:cs="Arial"/>
        </w:rPr>
        <w:t xml:space="preserve">Las organizaciones Campesinas, estructuraron la resistencia desde los territorios locales, y articularon luchas nacionales. Y la conformación de </w:t>
      </w:r>
      <w:proofErr w:type="gramStart"/>
      <w:r w:rsidR="0032258E" w:rsidRPr="00031E94">
        <w:rPr>
          <w:rFonts w:cs="Arial"/>
        </w:rPr>
        <w:t>La  Vía</w:t>
      </w:r>
      <w:proofErr w:type="gramEnd"/>
      <w:r w:rsidR="0032258E" w:rsidRPr="00031E94">
        <w:rPr>
          <w:rFonts w:cs="Arial"/>
        </w:rPr>
        <w:t xml:space="preserve"> Campesina en 1994, permitió construir el carácter internacional de la resistencia, pero también de las propuestas</w:t>
      </w:r>
      <w:r w:rsidR="000059D3" w:rsidRPr="00031E94">
        <w:rPr>
          <w:rFonts w:cs="Arial"/>
        </w:rPr>
        <w:t xml:space="preserve">… Las propuestas de Vía Campesina, se sintetizan en la Reforma Agraria integral, y </w:t>
      </w:r>
      <w:proofErr w:type="gramStart"/>
      <w:r w:rsidR="000059D3" w:rsidRPr="00031E94">
        <w:rPr>
          <w:rFonts w:cs="Arial"/>
        </w:rPr>
        <w:t>la  Agroecología</w:t>
      </w:r>
      <w:proofErr w:type="gramEnd"/>
      <w:r w:rsidR="000059D3" w:rsidRPr="00031E94">
        <w:rPr>
          <w:rFonts w:cs="Arial"/>
        </w:rPr>
        <w:t xml:space="preserve"> para lograr la Soberanía Alimentaria</w:t>
      </w:r>
      <w:r w:rsidRPr="00031E94">
        <w:rPr>
          <w:rFonts w:cs="Arial"/>
          <w:i/>
        </w:rPr>
        <w:t>”</w:t>
      </w:r>
      <w:r w:rsidR="00126301" w:rsidRPr="006C6D54">
        <w:rPr>
          <w:rStyle w:val="Refdenotaalfinal"/>
          <w:rFonts w:cs="Arial"/>
        </w:rPr>
        <w:endnoteReference w:id="4"/>
      </w:r>
    </w:p>
    <w:p w:rsidR="006C6D54" w:rsidRDefault="00545102" w:rsidP="009B7CE9">
      <w:pPr>
        <w:spacing w:after="120" w:line="240" w:lineRule="auto"/>
        <w:jc w:val="both"/>
        <w:rPr>
          <w:rFonts w:cs="Arial"/>
        </w:rPr>
      </w:pPr>
      <w:r w:rsidRPr="00031E94">
        <w:rPr>
          <w:rFonts w:cs="Arial"/>
        </w:rPr>
        <w:t xml:space="preserve">La omnipresencia del mandato del capital en los órdenes social, político, económico y cultural latinoamericano, dada su capacidad, suele ser </w:t>
      </w:r>
      <w:r w:rsidR="00126301" w:rsidRPr="00031E94">
        <w:rPr>
          <w:rFonts w:cs="Arial"/>
        </w:rPr>
        <w:t>inferid</w:t>
      </w:r>
      <w:r w:rsidR="006C6D54">
        <w:rPr>
          <w:rFonts w:cs="Arial"/>
        </w:rPr>
        <w:t>a</w:t>
      </w:r>
      <w:r w:rsidR="00126301" w:rsidRPr="00031E94">
        <w:rPr>
          <w:rFonts w:cs="Arial"/>
        </w:rPr>
        <w:t xml:space="preserve"> con cierta naturalidad; </w:t>
      </w:r>
      <w:r w:rsidR="009B7CE9" w:rsidRPr="00031E94">
        <w:rPr>
          <w:rFonts w:cs="Arial"/>
        </w:rPr>
        <w:t xml:space="preserve">así </w:t>
      </w:r>
      <w:r w:rsidR="00126301" w:rsidRPr="00031E94">
        <w:rPr>
          <w:rFonts w:cs="Arial"/>
        </w:rPr>
        <w:t xml:space="preserve">como </w:t>
      </w:r>
      <w:r w:rsidR="006C6D54">
        <w:rPr>
          <w:rFonts w:cs="Arial"/>
        </w:rPr>
        <w:t xml:space="preserve">lo es </w:t>
      </w:r>
      <w:r w:rsidR="00126301" w:rsidRPr="00031E94">
        <w:rPr>
          <w:rFonts w:cs="Arial"/>
        </w:rPr>
        <w:t xml:space="preserve">la </w:t>
      </w:r>
      <w:r w:rsidR="009B7CE9" w:rsidRPr="00031E94">
        <w:rPr>
          <w:rFonts w:cs="Arial"/>
        </w:rPr>
        <w:t>noción</w:t>
      </w:r>
      <w:r w:rsidR="00126301" w:rsidRPr="00031E94">
        <w:rPr>
          <w:rFonts w:cs="Arial"/>
        </w:rPr>
        <w:t xml:space="preserve"> de que campesinos e indígenas han sido desbordado</w:t>
      </w:r>
      <w:r w:rsidR="009B7CE9" w:rsidRPr="00031E94">
        <w:rPr>
          <w:rFonts w:cs="Arial"/>
        </w:rPr>
        <w:t>s</w:t>
      </w:r>
      <w:r w:rsidR="00126301" w:rsidRPr="00031E94">
        <w:rPr>
          <w:rFonts w:cs="Arial"/>
        </w:rPr>
        <w:t xml:space="preserve"> por el </w:t>
      </w:r>
      <w:r w:rsidR="009B7CE9" w:rsidRPr="00031E94">
        <w:rPr>
          <w:rFonts w:cs="Arial"/>
        </w:rPr>
        <w:t>urbanismo y las grandes metrópolis</w:t>
      </w:r>
      <w:r w:rsidR="00126301" w:rsidRPr="00031E94">
        <w:rPr>
          <w:rFonts w:cs="Arial"/>
        </w:rPr>
        <w:t>.</w:t>
      </w:r>
      <w:r w:rsidRPr="00031E94">
        <w:rPr>
          <w:rFonts w:cs="Arial"/>
        </w:rPr>
        <w:t xml:space="preserve"> Sin embargo, a la modernidad hegemónica le han precedido</w:t>
      </w:r>
      <w:r w:rsidR="009B7CE9" w:rsidRPr="00031E94">
        <w:rPr>
          <w:rFonts w:cs="Arial"/>
        </w:rPr>
        <w:t xml:space="preserve"> y le subsisten</w:t>
      </w:r>
      <w:r w:rsidRPr="00031E94">
        <w:rPr>
          <w:rFonts w:cs="Arial"/>
        </w:rPr>
        <w:t xml:space="preserve"> formas de vida campesina, agraria,</w:t>
      </w:r>
      <w:r w:rsidR="00126301" w:rsidRPr="00031E94">
        <w:rPr>
          <w:rFonts w:cs="Arial"/>
        </w:rPr>
        <w:t xml:space="preserve"> </w:t>
      </w:r>
      <w:r w:rsidRPr="00031E94">
        <w:rPr>
          <w:rFonts w:cs="Arial"/>
        </w:rPr>
        <w:t xml:space="preserve">indígena y comunitaria que, pese al dictamen de la sociedad capitalista, </w:t>
      </w:r>
      <w:r w:rsidR="006C6D54" w:rsidRPr="00031E94">
        <w:rPr>
          <w:rFonts w:cs="Arial"/>
        </w:rPr>
        <w:t>resulta</w:t>
      </w:r>
      <w:r w:rsidRPr="00031E94">
        <w:rPr>
          <w:rFonts w:cs="Arial"/>
        </w:rPr>
        <w:t xml:space="preserve"> una obstinación recurrente en la actualidad.</w:t>
      </w:r>
      <w:r w:rsidR="00126301" w:rsidRPr="00031E94">
        <w:rPr>
          <w:rFonts w:cs="Arial"/>
        </w:rPr>
        <w:t xml:space="preserve"> Tal como denuncia la </w:t>
      </w:r>
      <w:r w:rsidR="009B7CE9" w:rsidRPr="00031E94">
        <w:rPr>
          <w:rFonts w:cs="Arial"/>
        </w:rPr>
        <w:t>Declaración</w:t>
      </w:r>
      <w:r w:rsidR="00126301" w:rsidRPr="00031E94">
        <w:rPr>
          <w:rFonts w:cs="Arial"/>
        </w:rPr>
        <w:t xml:space="preserve"> de La </w:t>
      </w:r>
      <w:r w:rsidR="009B7CE9" w:rsidRPr="00031E94">
        <w:rPr>
          <w:rFonts w:cs="Arial"/>
        </w:rPr>
        <w:t>Vía</w:t>
      </w:r>
      <w:r w:rsidR="00126301" w:rsidRPr="00031E94">
        <w:rPr>
          <w:rFonts w:cs="Arial"/>
        </w:rPr>
        <w:t xml:space="preserve"> Campesina:</w:t>
      </w:r>
      <w:r w:rsidR="006C6D54">
        <w:rPr>
          <w:rFonts w:cs="Arial"/>
        </w:rPr>
        <w:t xml:space="preserve">    </w:t>
      </w:r>
    </w:p>
    <w:p w:rsidR="009B7CE9" w:rsidRPr="00031E94" w:rsidRDefault="009B7CE9" w:rsidP="009B7CE9">
      <w:pPr>
        <w:spacing w:after="120" w:line="240" w:lineRule="auto"/>
        <w:jc w:val="both"/>
        <w:rPr>
          <w:rFonts w:cs="Arial"/>
        </w:rPr>
      </w:pPr>
      <w:r w:rsidRPr="00031E94">
        <w:rPr>
          <w:rFonts w:cs="Arial"/>
        </w:rPr>
        <w:t>“Millones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de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campesinas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y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campesinos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han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sido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forzados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abandonar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sus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tierras de cultivo debido 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usurpaciones de</w:t>
      </w:r>
      <w:r w:rsidRPr="00031E94">
        <w:rPr>
          <w:rFonts w:ascii="MS Gothic" w:eastAsia="MS Gothic" w:hAnsi="MS Gothic" w:cs="MS Gothic"/>
        </w:rPr>
        <w:t> </w:t>
      </w:r>
      <w:proofErr w:type="gramStart"/>
      <w:r w:rsidRPr="00031E94">
        <w:rPr>
          <w:rFonts w:cs="Arial"/>
        </w:rPr>
        <w:t>tierra propiciadas</w:t>
      </w:r>
      <w:proofErr w:type="gramEnd"/>
      <w:r w:rsidRPr="00031E94">
        <w:rPr>
          <w:rFonts w:cs="Arial"/>
        </w:rPr>
        <w:t xml:space="preserve"> por políticas nacionales o por fuerzas militares. Se quita la tierra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al campesinado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para el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desarrollo de industrias, minas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o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grandes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proyectos de infraestructuras, centros turísticos, zonas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económicas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especiales, supermercados, plantaciones para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cultivos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comerciales…. El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resultado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es que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la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tierra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se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concentra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cada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vez más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en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unas pocas</w:t>
      </w:r>
      <w:r w:rsidRPr="00031E94">
        <w:rPr>
          <w:rFonts w:ascii="MS Gothic" w:eastAsia="MS Gothic" w:hAnsi="MS Gothic" w:cs="MS Gothic"/>
        </w:rPr>
        <w:t> </w:t>
      </w:r>
      <w:r w:rsidRPr="00031E94">
        <w:rPr>
          <w:rFonts w:cs="Arial"/>
        </w:rPr>
        <w:t>manos”</w:t>
      </w:r>
      <w:r w:rsidRPr="00031E94">
        <w:rPr>
          <w:rFonts w:cs="Arial"/>
          <w:vertAlign w:val="superscript"/>
        </w:rPr>
        <w:endnoteReference w:id="5"/>
      </w:r>
      <w:r w:rsidRPr="00031E94">
        <w:rPr>
          <w:rFonts w:ascii="MS Gothic" w:hAnsi="MS Gothic" w:cs="MS Gothic"/>
        </w:rPr>
        <w:t> </w:t>
      </w:r>
    </w:p>
    <w:p w:rsidR="005E52EE" w:rsidRDefault="006C6D54" w:rsidP="009B7CE9">
      <w:pPr>
        <w:spacing w:after="120" w:line="240" w:lineRule="auto"/>
        <w:jc w:val="both"/>
        <w:rPr>
          <w:rFonts w:cs="Arial"/>
          <w:b/>
        </w:rPr>
      </w:pPr>
      <w:r>
        <w:rPr>
          <w:rFonts w:cs="Arial"/>
          <w:b/>
        </w:rPr>
        <w:t>Campesinos</w:t>
      </w:r>
      <w:r w:rsidR="005E52EE" w:rsidRPr="00031E94">
        <w:rPr>
          <w:rFonts w:cs="Arial"/>
          <w:b/>
        </w:rPr>
        <w:t>, clases y sujetos políticos</w:t>
      </w:r>
    </w:p>
    <w:p w:rsidR="00031E94" w:rsidRPr="00031E94" w:rsidRDefault="00031E94" w:rsidP="009B7CE9">
      <w:pPr>
        <w:spacing w:after="120" w:line="240" w:lineRule="auto"/>
        <w:jc w:val="both"/>
        <w:rPr>
          <w:rFonts w:cs="Arial"/>
        </w:rPr>
      </w:pPr>
      <w:r w:rsidRPr="00031E94">
        <w:rPr>
          <w:rFonts w:cs="Arial"/>
        </w:rPr>
        <w:t xml:space="preserve">El campesinado no solo se rebela a la normativa liberal dominante que lo apunta como obsoleto o en desuso, sino que asume la tarea política de luchar contra el capitalismo y la sociedad colonial, </w:t>
      </w:r>
      <w:r w:rsidRPr="00031E94">
        <w:rPr>
          <w:rFonts w:cs="Arial"/>
        </w:rPr>
        <w:lastRenderedPageBreak/>
        <w:t xml:space="preserve">siendo la </w:t>
      </w:r>
      <w:r>
        <w:rPr>
          <w:rFonts w:cs="Arial"/>
        </w:rPr>
        <w:t>reivindicación de</w:t>
      </w:r>
      <w:r w:rsidRPr="00031E94">
        <w:rPr>
          <w:rFonts w:cs="Arial"/>
        </w:rPr>
        <w:t xml:space="preserve"> sus derechos una forma de lucha social </w:t>
      </w:r>
      <w:r>
        <w:rPr>
          <w:rFonts w:cs="Arial"/>
        </w:rPr>
        <w:t xml:space="preserve">y una propuesta de </w:t>
      </w:r>
      <w:r w:rsidRPr="00031E94">
        <w:rPr>
          <w:rFonts w:cs="Arial"/>
          <w:i/>
        </w:rPr>
        <w:t>irse constituyendo</w:t>
      </w:r>
      <w:r>
        <w:rPr>
          <w:rFonts w:cs="Arial"/>
        </w:rPr>
        <w:t xml:space="preserve"> en el conflicto territorial.</w:t>
      </w:r>
    </w:p>
    <w:p w:rsidR="00023BD9" w:rsidRPr="00031E94" w:rsidRDefault="00126301" w:rsidP="005E52EE">
      <w:pPr>
        <w:jc w:val="both"/>
        <w:rPr>
          <w:rFonts w:cs="Arial"/>
        </w:rPr>
      </w:pPr>
      <w:r w:rsidRPr="00031E94">
        <w:rPr>
          <w:rFonts w:cs="Arial"/>
        </w:rPr>
        <w:t xml:space="preserve">El </w:t>
      </w:r>
      <w:r w:rsidR="00545102" w:rsidRPr="00031E94">
        <w:rPr>
          <w:rFonts w:cs="Arial"/>
        </w:rPr>
        <w:t xml:space="preserve">carácter político de </w:t>
      </w:r>
      <w:r w:rsidR="0052489B" w:rsidRPr="00031E94">
        <w:rPr>
          <w:rFonts w:cs="Arial"/>
        </w:rPr>
        <w:t xml:space="preserve">los </w:t>
      </w:r>
      <w:r w:rsidR="00545102" w:rsidRPr="00031E94">
        <w:rPr>
          <w:rFonts w:cs="Arial"/>
        </w:rPr>
        <w:t xml:space="preserve">procesos de subjetivación </w:t>
      </w:r>
      <w:r w:rsidR="0052489B" w:rsidRPr="00031E94">
        <w:rPr>
          <w:rFonts w:cs="Arial"/>
        </w:rPr>
        <w:t xml:space="preserve">y </w:t>
      </w:r>
      <w:r w:rsidR="000059D3" w:rsidRPr="00031E94">
        <w:rPr>
          <w:rFonts w:cs="Arial"/>
        </w:rPr>
        <w:t>resistencia</w:t>
      </w:r>
      <w:r w:rsidR="0052489B" w:rsidRPr="00031E94">
        <w:rPr>
          <w:rFonts w:cs="Arial"/>
        </w:rPr>
        <w:t xml:space="preserve"> campesi</w:t>
      </w:r>
      <w:r w:rsidR="005E52EE" w:rsidRPr="00031E94">
        <w:rPr>
          <w:rFonts w:cs="Arial"/>
        </w:rPr>
        <w:t>no</w:t>
      </w:r>
      <w:r w:rsidR="0052489B" w:rsidRPr="00031E94">
        <w:rPr>
          <w:rFonts w:cs="Arial"/>
        </w:rPr>
        <w:t xml:space="preserve">-indígena, </w:t>
      </w:r>
      <w:r w:rsidR="00545102" w:rsidRPr="00031E94">
        <w:rPr>
          <w:rFonts w:cs="Arial"/>
        </w:rPr>
        <w:t xml:space="preserve">asentados en </w:t>
      </w:r>
      <w:r w:rsidR="0052489B" w:rsidRPr="00031E94">
        <w:rPr>
          <w:rFonts w:cs="Arial"/>
        </w:rPr>
        <w:t xml:space="preserve">la plenitud de relaciones de dominación </w:t>
      </w:r>
      <w:r w:rsidR="000059D3" w:rsidRPr="00031E94">
        <w:rPr>
          <w:rFonts w:cs="Arial"/>
        </w:rPr>
        <w:t>vigentes</w:t>
      </w:r>
      <w:r w:rsidR="00545102" w:rsidRPr="00031E94">
        <w:rPr>
          <w:rFonts w:cs="Arial"/>
        </w:rPr>
        <w:t xml:space="preserve">, permiten </w:t>
      </w:r>
      <w:r w:rsidR="005E52EE" w:rsidRPr="00031E94">
        <w:rPr>
          <w:rFonts w:cs="Arial"/>
        </w:rPr>
        <w:t>visualizar</w:t>
      </w:r>
      <w:r w:rsidR="00545102" w:rsidRPr="00031E94">
        <w:rPr>
          <w:rFonts w:cs="Arial"/>
        </w:rPr>
        <w:t xml:space="preserve"> la</w:t>
      </w:r>
      <w:r w:rsidR="0052489B" w:rsidRPr="00031E94">
        <w:rPr>
          <w:rFonts w:cs="Arial"/>
        </w:rPr>
        <w:t xml:space="preserve"> potencialidad </w:t>
      </w:r>
      <w:r w:rsidR="00545102" w:rsidRPr="00031E94">
        <w:rPr>
          <w:rFonts w:cs="Arial"/>
        </w:rPr>
        <w:t>de los movimientos sociales</w:t>
      </w:r>
      <w:r w:rsidR="0052489B" w:rsidRPr="00031E94">
        <w:rPr>
          <w:rFonts w:cs="Arial"/>
        </w:rPr>
        <w:t xml:space="preserve"> del mundo rural en medio de tanta injusticia social cotidiana</w:t>
      </w:r>
      <w:r w:rsidR="00545102" w:rsidRPr="00031E94">
        <w:rPr>
          <w:rFonts w:cs="Arial"/>
        </w:rPr>
        <w:t>. En parte</w:t>
      </w:r>
      <w:r w:rsidR="0052489B" w:rsidRPr="00031E94">
        <w:rPr>
          <w:rFonts w:cs="Arial"/>
        </w:rPr>
        <w:t>, la vitalidad del movimiento campesino y la disputa por los derechos de pequeños productores, pastores, crianceros, puesteros, pescadores, pueblos sin tierra</w:t>
      </w:r>
      <w:r w:rsidR="00344300" w:rsidRPr="00031E94">
        <w:rPr>
          <w:rFonts w:cs="Arial"/>
        </w:rPr>
        <w:t>s</w:t>
      </w:r>
      <w:r w:rsidR="0052489B" w:rsidRPr="00031E94">
        <w:rPr>
          <w:rFonts w:cs="Arial"/>
        </w:rPr>
        <w:t xml:space="preserve">, </w:t>
      </w:r>
      <w:proofErr w:type="spellStart"/>
      <w:r w:rsidR="0052489B" w:rsidRPr="00031E94">
        <w:rPr>
          <w:rFonts w:cs="Arial"/>
        </w:rPr>
        <w:t>campesindios</w:t>
      </w:r>
      <w:proofErr w:type="spellEnd"/>
      <w:r w:rsidR="00344300" w:rsidRPr="00031E94">
        <w:rPr>
          <w:rFonts w:cs="Arial"/>
        </w:rPr>
        <w:t>,</w:t>
      </w:r>
      <w:r w:rsidR="00545102" w:rsidRPr="00031E94">
        <w:rPr>
          <w:rFonts w:cs="Arial"/>
        </w:rPr>
        <w:t xml:space="preserve"> </w:t>
      </w:r>
      <w:r w:rsidR="0052489B" w:rsidRPr="00031E94">
        <w:rPr>
          <w:rFonts w:cs="Arial"/>
        </w:rPr>
        <w:t xml:space="preserve">reponen </w:t>
      </w:r>
      <w:r w:rsidR="00545102" w:rsidRPr="00031E94">
        <w:rPr>
          <w:rFonts w:cs="Arial"/>
        </w:rPr>
        <w:t>lo que Edward</w:t>
      </w:r>
      <w:r w:rsidR="0052489B" w:rsidRPr="00031E94">
        <w:rPr>
          <w:rFonts w:cs="Arial"/>
        </w:rPr>
        <w:t xml:space="preserve"> Thompson esbozaba en </w:t>
      </w:r>
      <w:r w:rsidR="0052489B" w:rsidRPr="00031E94">
        <w:rPr>
          <w:rFonts w:cs="Arial"/>
          <w:i/>
        </w:rPr>
        <w:t xml:space="preserve">Tradición, </w:t>
      </w:r>
      <w:r w:rsidR="00545102" w:rsidRPr="00031E94">
        <w:rPr>
          <w:rFonts w:cs="Arial"/>
          <w:i/>
        </w:rPr>
        <w:t>revuelta y consciencia de clase</w:t>
      </w:r>
      <w:r w:rsidR="00344300" w:rsidRPr="00031E94">
        <w:rPr>
          <w:rFonts w:cs="Arial"/>
        </w:rPr>
        <w:t xml:space="preserve">: </w:t>
      </w:r>
      <w:r w:rsidR="0052489B" w:rsidRPr="00031E94">
        <w:rPr>
          <w:rFonts w:cs="Arial"/>
        </w:rPr>
        <w:t>“</w:t>
      </w:r>
      <w:r w:rsidR="00545102" w:rsidRPr="00031E94">
        <w:rPr>
          <w:rFonts w:cs="Arial"/>
        </w:rPr>
        <w:t>Las clases acaecen al vivir los hombres y las mujeres sus relaciones de producción y al experimentar sus situaciones determinantes, dentro «del conjunto de relaciones sociales», con una cultura y unas expectativas heredadas, y al modelar estas experiencias en formas culturales. De modo que, al final, ningún modelo puede proporcionarnos lo que debe ser la «verdadera» formación de clase en una determinada «etapa» del proceso…</w:t>
      </w:r>
      <w:r w:rsidR="000059D3" w:rsidRPr="00031E94">
        <w:rPr>
          <w:rFonts w:cs="Arial"/>
        </w:rPr>
        <w:t>”</w:t>
      </w:r>
      <w:r w:rsidR="000059D3" w:rsidRPr="00031E94">
        <w:rPr>
          <w:rStyle w:val="Refdenotaalfinal"/>
          <w:rFonts w:cs="Arial"/>
        </w:rPr>
        <w:endnoteReference w:id="6"/>
      </w:r>
      <w:r w:rsidR="005E52EE" w:rsidRPr="00031E94">
        <w:rPr>
          <w:rFonts w:cs="Arial"/>
        </w:rPr>
        <w:t xml:space="preserve">. </w:t>
      </w:r>
      <w:r w:rsidR="00545102" w:rsidRPr="00031E94">
        <w:rPr>
          <w:rFonts w:cs="Arial"/>
        </w:rPr>
        <w:t>Thompson entiende por clase la noción de un fenómeno histórico que unifica una serie de sucesos dispares y aparentemente desconectados en lo que se refiere tanto a la materia prima de la exp</w:t>
      </w:r>
      <w:r w:rsidR="000059D3" w:rsidRPr="00031E94">
        <w:rPr>
          <w:rFonts w:cs="Arial"/>
        </w:rPr>
        <w:t xml:space="preserve">eriencia, como a la conciencia. </w:t>
      </w:r>
      <w:r w:rsidR="00545102" w:rsidRPr="00031E94">
        <w:rPr>
          <w:rFonts w:cs="Arial"/>
        </w:rPr>
        <w:t>Así como la clase e</w:t>
      </w:r>
      <w:r w:rsidR="006C6D54">
        <w:rPr>
          <w:rFonts w:cs="Arial"/>
        </w:rPr>
        <w:t>stuvo presente en su formación -</w:t>
      </w:r>
      <w:r w:rsidR="00545102" w:rsidRPr="00031E94">
        <w:rPr>
          <w:rFonts w:cs="Arial"/>
        </w:rPr>
        <w:t>en la digresión del historiad</w:t>
      </w:r>
      <w:r w:rsidR="006C6D54">
        <w:rPr>
          <w:rFonts w:cs="Arial"/>
        </w:rPr>
        <w:t>or inglés-</w:t>
      </w:r>
      <w:r w:rsidR="00545102" w:rsidRPr="00031E94">
        <w:rPr>
          <w:rFonts w:cs="Arial"/>
        </w:rPr>
        <w:t xml:space="preserve"> bien cabe al </w:t>
      </w:r>
      <w:r w:rsidR="00344300" w:rsidRPr="00031E94">
        <w:rPr>
          <w:rFonts w:cs="Arial"/>
        </w:rPr>
        <w:t xml:space="preserve">campesinado y la lucha de La </w:t>
      </w:r>
      <w:r w:rsidR="000059D3" w:rsidRPr="00031E94">
        <w:rPr>
          <w:rFonts w:cs="Arial"/>
        </w:rPr>
        <w:t>Vía</w:t>
      </w:r>
      <w:r w:rsidR="00344300" w:rsidRPr="00031E94">
        <w:rPr>
          <w:rFonts w:cs="Arial"/>
        </w:rPr>
        <w:t xml:space="preserve"> Campesina</w:t>
      </w:r>
      <w:r w:rsidR="00545102" w:rsidRPr="00031E94">
        <w:rPr>
          <w:rFonts w:cs="Arial"/>
        </w:rPr>
        <w:t>, la sugerencia de su conformación política como acción</w:t>
      </w:r>
      <w:r w:rsidR="00344300" w:rsidRPr="00031E94">
        <w:rPr>
          <w:rFonts w:cs="Arial"/>
        </w:rPr>
        <w:t xml:space="preserve"> ampliada de </w:t>
      </w:r>
      <w:proofErr w:type="gramStart"/>
      <w:r w:rsidR="00344300" w:rsidRPr="00031E94">
        <w:rPr>
          <w:rFonts w:cs="Arial"/>
        </w:rPr>
        <w:t>re-constitución</w:t>
      </w:r>
      <w:proofErr w:type="gramEnd"/>
      <w:r w:rsidR="00344300" w:rsidRPr="00031E94">
        <w:rPr>
          <w:rFonts w:cs="Arial"/>
        </w:rPr>
        <w:t xml:space="preserve"> </w:t>
      </w:r>
      <w:r w:rsidR="006C6D54">
        <w:rPr>
          <w:rFonts w:cs="Arial"/>
        </w:rPr>
        <w:t>de un tipo subjetividad</w:t>
      </w:r>
      <w:r w:rsidR="00344300" w:rsidRPr="00031E94">
        <w:rPr>
          <w:rFonts w:cs="Arial"/>
        </w:rPr>
        <w:t xml:space="preserve"> clasista e </w:t>
      </w:r>
      <w:proofErr w:type="spellStart"/>
      <w:r w:rsidR="005E52EE" w:rsidRPr="00031E94">
        <w:rPr>
          <w:rFonts w:cs="Arial"/>
        </w:rPr>
        <w:t>identitária</w:t>
      </w:r>
      <w:proofErr w:type="spellEnd"/>
      <w:r w:rsidR="00344300" w:rsidRPr="00031E94">
        <w:rPr>
          <w:rFonts w:cs="Arial"/>
        </w:rPr>
        <w:t>, ligada al reclamo anticolonial y anticapitalista histórico.</w:t>
      </w:r>
    </w:p>
    <w:p w:rsidR="00182B7E" w:rsidRPr="00031E94" w:rsidRDefault="00182B7E" w:rsidP="005E52EE">
      <w:pPr>
        <w:jc w:val="both"/>
        <w:rPr>
          <w:rFonts w:cs="Arial"/>
        </w:rPr>
      </w:pPr>
      <w:r w:rsidRPr="00031E94">
        <w:rPr>
          <w:rFonts w:cs="Arial"/>
        </w:rPr>
        <w:t xml:space="preserve">La problemática rural </w:t>
      </w:r>
      <w:r w:rsidR="000059D3" w:rsidRPr="00031E94">
        <w:rPr>
          <w:rFonts w:cs="Arial"/>
        </w:rPr>
        <w:t xml:space="preserve">y los derechos campesinos avanzan </w:t>
      </w:r>
      <w:r w:rsidR="005E52EE" w:rsidRPr="00031E94">
        <w:rPr>
          <w:rFonts w:cs="Arial"/>
        </w:rPr>
        <w:t>un paso fundament</w:t>
      </w:r>
      <w:r w:rsidR="006C6D54">
        <w:rPr>
          <w:rFonts w:cs="Arial"/>
        </w:rPr>
        <w:t>al a partir de esta Declaración,</w:t>
      </w:r>
      <w:r w:rsidR="005E52EE" w:rsidRPr="00031E94">
        <w:rPr>
          <w:rFonts w:cs="Arial"/>
        </w:rPr>
        <w:t xml:space="preserve"> en tanto la vieja lucha entre clases y sectores que acumulan riqueza y recursos naturales, frente a los oprimidos y excluidos de la tierra, escribe un capítulo</w:t>
      </w:r>
      <w:r w:rsidR="006C6D54">
        <w:rPr>
          <w:rFonts w:cs="Arial"/>
        </w:rPr>
        <w:t xml:space="preserve"> más en el largo proceso</w:t>
      </w:r>
      <w:r w:rsidR="005E52EE" w:rsidRPr="00031E94">
        <w:rPr>
          <w:rFonts w:cs="Arial"/>
        </w:rPr>
        <w:t xml:space="preserve"> de lucha social. La </w:t>
      </w:r>
      <w:r w:rsidR="00031E94" w:rsidRPr="00031E94">
        <w:rPr>
          <w:rFonts w:cs="Arial"/>
        </w:rPr>
        <w:t>Vía</w:t>
      </w:r>
      <w:r w:rsidR="005E52EE" w:rsidRPr="00031E94">
        <w:rPr>
          <w:rFonts w:cs="Arial"/>
        </w:rPr>
        <w:t xml:space="preserve"> Campesina internacional al final y a</w:t>
      </w:r>
      <w:r w:rsidR="006C6D54">
        <w:rPr>
          <w:rFonts w:cs="Arial"/>
        </w:rPr>
        <w:t>l cabo, asume que es lo que hace</w:t>
      </w:r>
      <w:r w:rsidR="005E52EE" w:rsidRPr="00031E94">
        <w:rPr>
          <w:rFonts w:cs="Arial"/>
        </w:rPr>
        <w:t xml:space="preserve"> para cambiar lo que </w:t>
      </w:r>
      <w:r w:rsidR="006C6D54">
        <w:rPr>
          <w:rFonts w:cs="Arial"/>
        </w:rPr>
        <w:t>somos, en medio de la noche neoliberal que afecta a todas las regiones</w:t>
      </w:r>
      <w:r w:rsidR="004C3AB9">
        <w:rPr>
          <w:rFonts w:cs="Arial"/>
        </w:rPr>
        <w:t xml:space="preserve"> rurales</w:t>
      </w:r>
      <w:r w:rsidR="006C6D54">
        <w:rPr>
          <w:rFonts w:cs="Arial"/>
        </w:rPr>
        <w:t xml:space="preserve"> en la actualidad.</w:t>
      </w:r>
    </w:p>
    <w:p w:rsidR="00182B7E" w:rsidRPr="00545102" w:rsidRDefault="00182B7E" w:rsidP="005E52EE">
      <w:pPr>
        <w:ind w:firstLine="708"/>
        <w:jc w:val="both"/>
      </w:pPr>
    </w:p>
    <w:sectPr w:rsidR="00182B7E" w:rsidRPr="00545102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EA" w:rsidRDefault="00674CEA" w:rsidP="008054BA">
      <w:pPr>
        <w:spacing w:after="0" w:line="240" w:lineRule="auto"/>
      </w:pPr>
      <w:r>
        <w:separator/>
      </w:r>
    </w:p>
  </w:endnote>
  <w:endnote w:type="continuationSeparator" w:id="0">
    <w:p w:rsidR="00674CEA" w:rsidRDefault="00674CEA" w:rsidP="008054BA">
      <w:pPr>
        <w:spacing w:after="0" w:line="240" w:lineRule="auto"/>
      </w:pPr>
      <w:r>
        <w:continuationSeparator/>
      </w:r>
    </w:p>
  </w:endnote>
  <w:endnote w:id="1">
    <w:p w:rsidR="000B51BC" w:rsidRPr="006C6D54" w:rsidRDefault="000B51BC">
      <w:pPr>
        <w:pStyle w:val="Textonotaalfinal"/>
        <w:rPr>
          <w:sz w:val="18"/>
        </w:rPr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Quijano, </w:t>
      </w:r>
      <w:r w:rsidR="00031E94" w:rsidRPr="006C6D54">
        <w:rPr>
          <w:sz w:val="18"/>
        </w:rPr>
        <w:t>A.</w:t>
      </w:r>
      <w:r w:rsidRPr="006C6D54">
        <w:rPr>
          <w:sz w:val="18"/>
        </w:rPr>
        <w:t xml:space="preserve"> (2000) “</w:t>
      </w:r>
      <w:proofErr w:type="spellStart"/>
      <w:r w:rsidRPr="006C6D54">
        <w:rPr>
          <w:sz w:val="18"/>
        </w:rPr>
        <w:t>Colonialidad</w:t>
      </w:r>
      <w:proofErr w:type="spellEnd"/>
      <w:r w:rsidRPr="006C6D54">
        <w:rPr>
          <w:sz w:val="18"/>
        </w:rPr>
        <w:t xml:space="preserve"> del poder, eurocentrismo y América Latina” en Lander, E (</w:t>
      </w:r>
      <w:proofErr w:type="spellStart"/>
      <w:r w:rsidRPr="006C6D54">
        <w:rPr>
          <w:sz w:val="18"/>
        </w:rPr>
        <w:t>comp.</w:t>
      </w:r>
      <w:proofErr w:type="spellEnd"/>
      <w:r w:rsidRPr="006C6D54">
        <w:rPr>
          <w:sz w:val="18"/>
        </w:rPr>
        <w:t xml:space="preserve">) La </w:t>
      </w:r>
      <w:proofErr w:type="spellStart"/>
      <w:r w:rsidRPr="006C6D54">
        <w:rPr>
          <w:sz w:val="18"/>
        </w:rPr>
        <w:t>colonialidad</w:t>
      </w:r>
      <w:proofErr w:type="spellEnd"/>
      <w:r w:rsidRPr="006C6D54">
        <w:rPr>
          <w:sz w:val="18"/>
        </w:rPr>
        <w:t xml:space="preserve"> del saber: eurocentrismo y ciencias sociales. Perspectivas Latinoamericanas. CLACSO, Buenos Aires, Argentina. Recuperado en: </w:t>
      </w:r>
      <w:hyperlink r:id="rId1" w:history="1">
        <w:r w:rsidRPr="006C6D54">
          <w:rPr>
            <w:rStyle w:val="Hipervnculo"/>
            <w:sz w:val="18"/>
          </w:rPr>
          <w:t>http://bibliotecavirtual.clacso.org.ar/ar/libros/lander/quijano.rtf</w:t>
        </w:r>
      </w:hyperlink>
      <w:r w:rsidRPr="006C6D54">
        <w:rPr>
          <w:sz w:val="18"/>
        </w:rPr>
        <w:t xml:space="preserve"> (p. 122)</w:t>
      </w:r>
    </w:p>
  </w:endnote>
  <w:endnote w:id="2">
    <w:p w:rsidR="00182B7E" w:rsidRPr="006C6D54" w:rsidRDefault="00182B7E">
      <w:pPr>
        <w:pStyle w:val="Textonotaalfinal"/>
        <w:rPr>
          <w:sz w:val="18"/>
        </w:rPr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</w:t>
      </w:r>
      <w:proofErr w:type="spellStart"/>
      <w:r w:rsidR="007762C8" w:rsidRPr="006C6D54">
        <w:rPr>
          <w:sz w:val="18"/>
        </w:rPr>
        <w:t>Korol</w:t>
      </w:r>
      <w:proofErr w:type="spellEnd"/>
      <w:r w:rsidR="00031E94" w:rsidRPr="006C6D54">
        <w:rPr>
          <w:sz w:val="18"/>
        </w:rPr>
        <w:t>, C.</w:t>
      </w:r>
      <w:r w:rsidRPr="006C6D54">
        <w:rPr>
          <w:sz w:val="18"/>
        </w:rPr>
        <w:t xml:space="preserve"> (2016) “Somos tierra, semilla, rebeldía: mujeres, tierra y territorios en América Latina” Buenos Aires: GRAIN.</w:t>
      </w:r>
    </w:p>
  </w:endnote>
  <w:endnote w:id="3">
    <w:p w:rsidR="007762C8" w:rsidRPr="006C6D54" w:rsidRDefault="007762C8">
      <w:pPr>
        <w:pStyle w:val="Textonotaalfinal"/>
        <w:rPr>
          <w:sz w:val="18"/>
        </w:rPr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</w:t>
      </w:r>
      <w:hyperlink r:id="rId2" w:history="1">
        <w:r w:rsidRPr="006C6D54">
          <w:rPr>
            <w:rStyle w:val="Hipervnculo"/>
            <w:sz w:val="18"/>
          </w:rPr>
          <w:t>https://viacampesina.org/es/la-via-campesina-el-consejo-de-derechos-humanos-de-las-naciones-unidas-aprueba-la-resolucion-relativa-a-la-declaracion-sobre-los-derechos-de-las-y-los-campesinxs-en-ginebra/</w:t>
        </w:r>
      </w:hyperlink>
      <w:r w:rsidRPr="006C6D54">
        <w:rPr>
          <w:sz w:val="18"/>
        </w:rPr>
        <w:t xml:space="preserve"> </w:t>
      </w:r>
    </w:p>
  </w:endnote>
  <w:endnote w:id="4">
    <w:p w:rsidR="00126301" w:rsidRPr="006C6D54" w:rsidRDefault="00126301">
      <w:pPr>
        <w:pStyle w:val="Textonotaalfinal"/>
        <w:rPr>
          <w:sz w:val="18"/>
        </w:rPr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</w:t>
      </w:r>
      <w:hyperlink r:id="rId3" w:history="1">
        <w:r w:rsidRPr="006C6D54">
          <w:rPr>
            <w:rStyle w:val="Hipervnculo"/>
            <w:sz w:val="18"/>
          </w:rPr>
          <w:t>http://www.infonews.com/nota/318682/onu-cada-vez-mas-cerca-de-la-adopcion</w:t>
        </w:r>
      </w:hyperlink>
      <w:r w:rsidRPr="006C6D54">
        <w:rPr>
          <w:sz w:val="18"/>
        </w:rPr>
        <w:t xml:space="preserve"> </w:t>
      </w:r>
    </w:p>
  </w:endnote>
  <w:endnote w:id="5">
    <w:p w:rsidR="009B7CE9" w:rsidRPr="006C6D54" w:rsidRDefault="009B7CE9" w:rsidP="009B7CE9">
      <w:pPr>
        <w:pStyle w:val="Textonotaalfinal"/>
        <w:rPr>
          <w:sz w:val="18"/>
        </w:rPr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</w:t>
      </w:r>
      <w:hyperlink r:id="rId4" w:history="1">
        <w:r w:rsidRPr="006C6D54">
          <w:rPr>
            <w:rStyle w:val="Hipervnculo"/>
            <w:sz w:val="18"/>
          </w:rPr>
          <w:t>https://viacampesina.net/downloads/PDF/SP-3.pdf</w:t>
        </w:r>
      </w:hyperlink>
      <w:r w:rsidRPr="006C6D54">
        <w:rPr>
          <w:sz w:val="18"/>
        </w:rPr>
        <w:t xml:space="preserve"> </w:t>
      </w:r>
    </w:p>
  </w:endnote>
  <w:endnote w:id="6">
    <w:p w:rsidR="000059D3" w:rsidRDefault="000059D3">
      <w:pPr>
        <w:pStyle w:val="Textonotaalfinal"/>
      </w:pPr>
      <w:r w:rsidRPr="006C6D54">
        <w:rPr>
          <w:rStyle w:val="Refdenotaalfinal"/>
          <w:sz w:val="18"/>
        </w:rPr>
        <w:endnoteRef/>
      </w:r>
      <w:r w:rsidRPr="006C6D54">
        <w:rPr>
          <w:sz w:val="18"/>
        </w:rPr>
        <w:t xml:space="preserve"> Thompson, E</w:t>
      </w:r>
      <w:r w:rsidR="00031E94" w:rsidRPr="006C6D54">
        <w:rPr>
          <w:sz w:val="18"/>
        </w:rPr>
        <w:t>. (</w:t>
      </w:r>
      <w:r w:rsidRPr="006C6D54">
        <w:rPr>
          <w:sz w:val="18"/>
        </w:rPr>
        <w:t>1979</w:t>
      </w:r>
      <w:r w:rsidR="00031E94" w:rsidRPr="006C6D54">
        <w:rPr>
          <w:sz w:val="18"/>
        </w:rPr>
        <w:t>)</w:t>
      </w:r>
      <w:r w:rsidRPr="006C6D54">
        <w:rPr>
          <w:sz w:val="18"/>
        </w:rPr>
        <w:t xml:space="preserve"> </w:t>
      </w:r>
      <w:r w:rsidR="004C3AB9">
        <w:rPr>
          <w:sz w:val="18"/>
        </w:rPr>
        <w:t>“</w:t>
      </w:r>
      <w:r w:rsidRPr="006C6D54">
        <w:rPr>
          <w:sz w:val="18"/>
        </w:rPr>
        <w:t>Tradición, revuelta y consciencia de clase. Estudios sobre la crisis de la sociedad preindustrial</w:t>
      </w:r>
      <w:r w:rsidR="004C3AB9">
        <w:rPr>
          <w:sz w:val="18"/>
        </w:rPr>
        <w:t>”</w:t>
      </w:r>
      <w:r w:rsidRPr="006C6D54">
        <w:rPr>
          <w:sz w:val="18"/>
        </w:rPr>
        <w:t xml:space="preserve"> Barcelona: Editorial Crítica.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EA" w:rsidRDefault="00674CEA" w:rsidP="008054BA">
      <w:pPr>
        <w:spacing w:after="0" w:line="240" w:lineRule="auto"/>
      </w:pPr>
      <w:r>
        <w:separator/>
      </w:r>
    </w:p>
  </w:footnote>
  <w:footnote w:type="continuationSeparator" w:id="0">
    <w:p w:rsidR="00674CEA" w:rsidRDefault="00674CEA" w:rsidP="00805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90"/>
    <w:rsid w:val="000059D3"/>
    <w:rsid w:val="00023BD9"/>
    <w:rsid w:val="00031E94"/>
    <w:rsid w:val="000B51BC"/>
    <w:rsid w:val="00126301"/>
    <w:rsid w:val="00173321"/>
    <w:rsid w:val="00182B7E"/>
    <w:rsid w:val="001F3179"/>
    <w:rsid w:val="00266B02"/>
    <w:rsid w:val="0032258E"/>
    <w:rsid w:val="00344300"/>
    <w:rsid w:val="004C3AB9"/>
    <w:rsid w:val="0052489B"/>
    <w:rsid w:val="00545102"/>
    <w:rsid w:val="005E52EE"/>
    <w:rsid w:val="00674CEA"/>
    <w:rsid w:val="006C6D54"/>
    <w:rsid w:val="007762C8"/>
    <w:rsid w:val="00795FC0"/>
    <w:rsid w:val="008054BA"/>
    <w:rsid w:val="0096629B"/>
    <w:rsid w:val="009B7CE9"/>
    <w:rsid w:val="009D77F6"/>
    <w:rsid w:val="00BD6190"/>
    <w:rsid w:val="00C30F73"/>
    <w:rsid w:val="00C67207"/>
    <w:rsid w:val="00C71B2E"/>
    <w:rsid w:val="00D4283B"/>
    <w:rsid w:val="00E00C7A"/>
    <w:rsid w:val="00E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F972-AEFA-4CB1-8134-2D7752C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054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54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54B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54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54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54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B5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fonews.com/nota/318682/onu-cada-vez-mas-cerca-de-la-adopcion" TargetMode="External"/><Relationship Id="rId2" Type="http://schemas.openxmlformats.org/officeDocument/2006/relationships/hyperlink" Target="https://viacampesina.org/es/la-via-campesina-el-consejo-de-derechos-humanos-de-las-naciones-unidas-aprueba-la-resolucion-relativa-a-la-declaracion-sobre-los-derechos-de-las-y-los-campesinxs-en-ginebra/" TargetMode="External"/><Relationship Id="rId1" Type="http://schemas.openxmlformats.org/officeDocument/2006/relationships/hyperlink" Target="http://bibliotecavirtual.clacso.org.ar/ar/libros/lander/quijano.rtf" TargetMode="External"/><Relationship Id="rId4" Type="http://schemas.openxmlformats.org/officeDocument/2006/relationships/hyperlink" Target="https://viacampesina.net/downloads/PDF/SP-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47EA-140A-41C9-8E23-69FAB4F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Rosario Hermano</cp:lastModifiedBy>
  <cp:revision>2</cp:revision>
  <dcterms:created xsi:type="dcterms:W3CDTF">2018-10-04T11:50:00Z</dcterms:created>
  <dcterms:modified xsi:type="dcterms:W3CDTF">2018-10-04T11:50:00Z</dcterms:modified>
</cp:coreProperties>
</file>