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1F" w:rsidRPr="008E3A1F" w:rsidRDefault="008E3A1F" w:rsidP="008E3A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val="es-UY" w:eastAsia="es-UY"/>
        </w:rPr>
      </w:pPr>
      <w:r w:rsidRPr="008E3A1F">
        <w:rPr>
          <w:rFonts w:ascii="Calibri" w:eastAsia="Times New Roman" w:hAnsi="Calibri" w:cs="Calibri"/>
          <w:b/>
          <w:color w:val="000000"/>
          <w:sz w:val="32"/>
          <w:szCs w:val="32"/>
          <w:lang w:val="es-UY" w:eastAsia="es-UY"/>
        </w:rPr>
        <w:t>A PROPÓSITO DEL NEOLOGISMO RESILIENCIA.</w:t>
      </w:r>
    </w:p>
    <w:p w:rsidR="008E3A1F" w:rsidRPr="008E3A1F" w:rsidRDefault="008E3A1F" w:rsidP="008E3A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u w:val="single"/>
          <w:lang w:val="es-UY" w:eastAsia="es-UY"/>
        </w:rPr>
        <w:t>Tesis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: 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 xml:space="preserve">la dirección ideológica del neologismo resiliencia podría encubrir </w:t>
      </w:r>
      <w:proofErr w:type="gramStart"/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sutil  desmovilización</w:t>
      </w:r>
      <w:proofErr w:type="gramEnd"/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 xml:space="preserve"> política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(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u w:val="single"/>
          <w:lang w:val="es-UY" w:eastAsia="es-UY"/>
        </w:rPr>
        <w:t>2-11-2018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. Infeliz coincidencia: la formulación de esta tesis cae el día de difuntos, como si se dijera: entierren la resistencia y devengan en resilientes).</w:t>
      </w: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1-Puede ser virtual posibilidad que la llamada Resiliencia conduzca a una ajustable adaptación frente a la adversidad o a cualquier situación que complique la vida, lo cual entrenaría la capacidad de superación. Esa prueba podría no pasar de cierto acomodamiento que recupera ciertas fuerzas positivas para el ejercicio de </w:t>
      </w: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resiliar</w:t>
      </w:r>
      <w:proofErr w:type="spellEnd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. </w:t>
      </w: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2-En los justos términos de 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crítica conciencia política transformadora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, frente a la carrera acelerada del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 CNS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 (=Capitalismo </w:t>
      </w: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Noeliberal</w:t>
      </w:r>
      <w:proofErr w:type="spellEnd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 Salvaje), que cada vez más reduce los precarios márgenes de las democracias de carácter socialista en el Continente, ese proceso, </w:t>
      </w:r>
      <w:proofErr w:type="spellStart"/>
      <w:proofErr w:type="gram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cualitativamente,es</w:t>
      </w:r>
      <w:proofErr w:type="spellEnd"/>
      <w:proofErr w:type="gramEnd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  diferente  de la 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Resistencia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. </w:t>
      </w: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3-Tener en cuenta que el Macro-Espectro Hegemonista del 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CNS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, además de sus estrategias como Ideología Global Economicista, desde </w:t>
      </w: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el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Pentágono</w:t>
      </w:r>
      <w:proofErr w:type="spellEnd"/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 xml:space="preserve"> (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en conjunto con el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 Departamento de Estado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de los </w:t>
      </w: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USAcultura</w:t>
      </w:r>
      <w:proofErr w:type="spellEnd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=los EE. UU. que saben manipular todo), tiene a la base el Proyecto Sutil Diseñado "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La Dominación Imperialista Cultural"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(es decir, una manipulación de la Estructura Cultural de nuestros pueblos), cuya finalidad busca dar al traste con el significado original político de la 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SPA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(=Semántica Política Antiimperialista)</w:t>
      </w:r>
    </w:p>
    <w:p w:rsidR="008E3A1F" w:rsidRPr="008E3A1F" w:rsidRDefault="008E3A1F" w:rsidP="008E3A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</w:p>
    <w:p w:rsidR="008E3A1F" w:rsidRPr="008E3A1F" w:rsidRDefault="008E3A1F" w:rsidP="002716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 4-Un ejemplo de la ruptura para con la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 SPA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se da con el otro neologismo "Concienciación".  De forma sutil y encubierta, este neologismo ha ido sustituyendo 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u w:val="single"/>
          <w:lang w:val="es-UY" w:eastAsia="es-UY"/>
        </w:rPr>
        <w:t xml:space="preserve">la </w:t>
      </w:r>
      <w:bookmarkStart w:id="0" w:name="_GoBack"/>
      <w:r w:rsidRPr="008E3A1F">
        <w:rPr>
          <w:rFonts w:ascii="Calibri" w:eastAsia="Times New Roman" w:hAnsi="Calibri" w:cs="Calibri"/>
          <w:color w:val="000000"/>
          <w:sz w:val="24"/>
          <w:szCs w:val="24"/>
          <w:u w:val="single"/>
          <w:lang w:val="es-UY" w:eastAsia="es-UY"/>
        </w:rPr>
        <w:t>carga política simbólica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 de la categoría</w:t>
      </w:r>
      <w:r w:rsidRPr="008E3A1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UY" w:eastAsia="es-UY"/>
        </w:rPr>
        <w:t> Concientización</w:t>
      </w: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, la cual, en América Latina y Caribeña, implica la inherente referencia directa a los sujetos políticos actores de nuestros procesos </w:t>
      </w: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sociopolicos</w:t>
      </w:r>
      <w:proofErr w:type="spellEnd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 de transformación continental.</w:t>
      </w:r>
    </w:p>
    <w:p w:rsidR="008E3A1F" w:rsidRPr="008E3A1F" w:rsidRDefault="008E3A1F" w:rsidP="002716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8E3A1F" w:rsidRPr="008E3A1F" w:rsidRDefault="008E3A1F" w:rsidP="002716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5-Resiliencia y Resistencia (En términos políticos, configuran dos categorías de contenidos diferenciados y delimitados...).</w:t>
      </w:r>
    </w:p>
    <w:p w:rsidR="008E3A1F" w:rsidRPr="008E3A1F" w:rsidRDefault="008E3A1F" w:rsidP="002716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8E3A1F" w:rsidRPr="008E3A1F" w:rsidRDefault="008E3A1F" w:rsidP="002716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8E3A1F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>Julin</w:t>
      </w:r>
      <w:proofErr w:type="spellEnd"/>
      <w:r w:rsidR="00271662" w:rsidRPr="00271662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t xml:space="preserve"> Acosta</w:t>
      </w:r>
    </w:p>
    <w:bookmarkEnd w:id="0"/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1F"/>
    <w:rsid w:val="00271662"/>
    <w:rsid w:val="002E2F5B"/>
    <w:rsid w:val="008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D3A6"/>
  <w15:chartTrackingRefBased/>
  <w15:docId w15:val="{B3590B02-F735-47BA-BC13-EFD3BC8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2018-11-05T11:29:00Z</dcterms:created>
  <dcterms:modified xsi:type="dcterms:W3CDTF">2018-11-05T11:42:00Z</dcterms:modified>
</cp:coreProperties>
</file>