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56" w:rsidRDefault="008F4A56"/>
    <w:p w:rsidR="008F4A56" w:rsidRPr="008F4A56" w:rsidRDefault="008F4A56" w:rsidP="008F4A56">
      <w:pPr>
        <w:pStyle w:val="Ttulo1"/>
        <w:shd w:val="clear" w:color="auto" w:fill="FFFFFF"/>
        <w:spacing w:before="0" w:after="75"/>
        <w:jc w:val="center"/>
        <w:textAlignment w:val="baseline"/>
        <w:rPr>
          <w:rFonts w:ascii="Arial" w:eastAsia="Times New Roman" w:hAnsi="Arial" w:cs="Arial"/>
          <w:b/>
          <w:bCs/>
          <w:color w:val="404040"/>
          <w:kern w:val="36"/>
          <w:sz w:val="40"/>
          <w:szCs w:val="40"/>
          <w:lang w:val="es-UY" w:eastAsia="es-UY"/>
        </w:rPr>
      </w:pPr>
      <w:bookmarkStart w:id="0" w:name="_GoBack"/>
      <w:r w:rsidRPr="008F4A56">
        <w:rPr>
          <w:rFonts w:ascii="Arial" w:eastAsia="Times New Roman" w:hAnsi="Arial" w:cs="Arial"/>
          <w:b/>
          <w:bCs/>
          <w:color w:val="404040"/>
          <w:kern w:val="36"/>
          <w:sz w:val="40"/>
          <w:szCs w:val="40"/>
          <w:lang w:val="es-UY" w:eastAsia="es-UY"/>
        </w:rPr>
        <w:t>El abuso sexual y los Seminarios católicos</w:t>
      </w:r>
    </w:p>
    <w:bookmarkEnd w:id="0"/>
    <w:p w:rsidR="008F4A56" w:rsidRPr="008F4A56" w:rsidRDefault="008F4A56" w:rsidP="008F4A5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</w:pPr>
      <w:proofErr w:type="spellStart"/>
      <w:r w:rsidRPr="008F4A56"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  <w:t>Posted</w:t>
      </w:r>
      <w:proofErr w:type="spellEnd"/>
      <w:r w:rsidRPr="008F4A56"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  <w:t>: </w:t>
      </w:r>
      <w:hyperlink r:id="rId4" w:tooltip="7:49 pm" w:history="1">
        <w:r w:rsidRPr="008F4A56">
          <w:rPr>
            <w:rFonts w:ascii="Arial" w:eastAsia="Times New Roman" w:hAnsi="Arial" w:cs="Arial"/>
            <w:color w:val="005689"/>
            <w:sz w:val="17"/>
            <w:szCs w:val="17"/>
            <w:bdr w:val="none" w:sz="0" w:space="0" w:color="auto" w:frame="1"/>
            <w:lang w:val="es-UY" w:eastAsia="es-UY"/>
          </w:rPr>
          <w:t>7:49 pm, Noviembre 1, 2018</w:t>
        </w:r>
      </w:hyperlink>
    </w:p>
    <w:p w:rsidR="008F4A56" w:rsidRPr="008F4A56" w:rsidRDefault="008F4A56" w:rsidP="008F4A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8F4A56">
        <w:rPr>
          <w:rFonts w:ascii="Arial" w:eastAsia="Times New Roman" w:hAnsi="Arial" w:cs="Arial"/>
          <w:noProof/>
          <w:color w:val="616161"/>
          <w:sz w:val="21"/>
          <w:szCs w:val="21"/>
          <w:lang w:val="es-UY" w:eastAsia="es-UY"/>
        </w:rPr>
        <w:drawing>
          <wp:inline distT="0" distB="0" distL="0" distR="0" wp14:anchorId="18725782" wp14:editId="3189C295">
            <wp:extent cx="5302250" cy="2827867"/>
            <wp:effectExtent l="0" t="0" r="0" b="0"/>
            <wp:docPr id="1" name="Imagen 1" descr="41-rogationes28-iv-20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-rogationes28-iv-2008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42" cy="283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56" w:rsidRDefault="008F4A56" w:rsidP="008F4A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16161"/>
          <w:sz w:val="28"/>
          <w:szCs w:val="28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b/>
          <w:bCs/>
          <w:color w:val="616161"/>
          <w:sz w:val="28"/>
          <w:szCs w:val="28"/>
          <w:bdr w:val="none" w:sz="0" w:space="0" w:color="auto" w:frame="1"/>
          <w:lang w:val="es-UY" w:eastAsia="es-UY"/>
        </w:rPr>
        <w:t xml:space="preserve">Si bien los escándalos de abuso sexual del clero no son nuevos, los que han sacudido a la Iglesia Católica este verano giraron en torno a un grupo en el que rara vez se centraba antes: los seminaristas. El acoso sexual y el abuso de los seminaristas, y la repuesta de los líderes de los seminarios, han sido el centro del caso del ex cardenal Theodore </w:t>
      </w:r>
      <w:proofErr w:type="spellStart"/>
      <w:r w:rsidRPr="008F4A56">
        <w:rPr>
          <w:rFonts w:ascii="Arial" w:eastAsia="Times New Roman" w:hAnsi="Arial" w:cs="Arial"/>
          <w:b/>
          <w:bCs/>
          <w:color w:val="616161"/>
          <w:sz w:val="28"/>
          <w:szCs w:val="28"/>
          <w:bdr w:val="none" w:sz="0" w:space="0" w:color="auto" w:frame="1"/>
          <w:lang w:val="es-UY" w:eastAsia="es-UY"/>
        </w:rPr>
        <w:t>McCarrick</w:t>
      </w:r>
      <w:proofErr w:type="spellEnd"/>
      <w:r w:rsidRPr="008F4A56">
        <w:rPr>
          <w:rFonts w:ascii="Arial" w:eastAsia="Times New Roman" w:hAnsi="Arial" w:cs="Arial"/>
          <w:b/>
          <w:bCs/>
          <w:color w:val="616161"/>
          <w:sz w:val="28"/>
          <w:szCs w:val="28"/>
          <w:bdr w:val="none" w:sz="0" w:space="0" w:color="auto" w:frame="1"/>
          <w:lang w:val="es-UY" w:eastAsia="es-UY"/>
        </w:rPr>
        <w:t>, cuya destitución del ministerio desencadenó meses de atención al tema del abuso.</w:t>
      </w:r>
    </w:p>
    <w:p w:rsidR="008F4A56" w:rsidRPr="008F4A56" w:rsidRDefault="008F4A56" w:rsidP="008F4A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8"/>
          <w:szCs w:val="28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 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Muchos católicos comparten un nivel elevado de preocupación, incluso sin precedentes, por el bienestar de los seminaristas católicos.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También se preguntan, y con razón, si nuestros seminarios no solo pueden detectar potenciales depredadores sexuales, 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sino también enfrentar el desafío de preparar a los hombres emocionalmente maduros y psicológicamente y sexualmente sanos. Esto requiere entrenamiento para la sociedad estadounidense contemporánea.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La convergencia de estas preocupaciones invita a una conversión largamente necesaria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sobre la reforma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en los seminarios estadounidenses.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Muchos de los que, durante años, hemos trabajado en la formación de seminarios consideramos que 2018 es un momento decisivo para insistir en los ajustes y mejoras respecto a la capacitación de los seminarios.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En retrospectiva, muchas de nuestras instituciones, con demasiada frecuencia, han fracasado estrepitosamente en la preparación de los hombres para el ministerio,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 y muchas aún no alcanzan el objetivo de formar sacerdotes felices y sanos. La Iglesia Católica necesita con urgencia nuevos enfoques para preparar a los hombres para el ministerio sacerdotal, dada la 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lastRenderedPageBreak/>
        <w:t>cultura secularizada y sexualizada de hoy y los desafíos personales que enfrentan los seminaristas.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Los obispos, los rectores y el personal de formación de seminarios pueden creer fácilmente que la forma en que estamos formando hoy está bien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. Pero si somos honestos, sabemos que en muchos casos no lo es.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De los aproximadamente 450 hombres ordenados al sacerdocio católico cada año, un pequeño porcentaje abandonará el ministerio en los primeros años.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Muchos otros lucharán poderosamente con los desafíos para los cuales su formación en el seminario no los preparó.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Por lo general, nuestros seminarios funcionan de la siguiente manera: sobre un chasis de un programa académico de cuatro años, superponemos elementos de la preparación humana, espiritual y pastoral para el ministerio.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Además, la vida del seminario, con demasiada frecuencia, se desarrolla en los confines de edificios antiguos, cavernosos e institucionales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. Tales parámetros fomentan fácilmente el aislamiento, y trabajan en propósitos cruzados para una experiencia de fraternidad genuina y el tipo de formación profunda que nuestros hombres requieren. Este modelo de seminario hoy en día es altamente inadecuado, y es hora de que los obispos piensen muy lejos de ahí.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Entonces: ¿Qué necesita cambiar?</w:t>
      </w: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Primero: un énfasis excesivo en lo académico debe rendir a un enfoque más agudo en la formación de candidatos que sean emocionalmente maduros y tengan una personalidad y espiritualidad bien integradas y saludables.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Si hemos aprendido una cosa desde que estalló la crisis de abuso sexual por parte del clero en 2002, es que muchos sacerdotes abusadores llegaron a la ordenación en una etapa de desarrollo psicosexual y emocional detenido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. Allí donde falta el enfoque en la integración psicológica personal, se abre un espacio para una vida desordenada precisamente del tipo que ha acaparado los titulares en los últimos meses.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Segundo: los obispos deben trabajar con urgencia para garantizar que en nuestros seminarios exista una cultura interna de confianza, transparencia y diálogo honesto entre los seminaristas y el equipo de formación.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Me ha dolido escuchar, en las últimas semanas, que algunos seminaristas se han sentido prohibidos de participar en un diálogo abierto sobre el caso de </w:t>
      </w:r>
      <w:proofErr w:type="spellStart"/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McCarrick</w:t>
      </w:r>
      <w:proofErr w:type="spellEnd"/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o la publicación de un informe del gran jurado de </w:t>
      </w:r>
      <w:proofErr w:type="spellStart"/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Pensivalnia</w:t>
      </w:r>
      <w:proofErr w:type="spellEnd"/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 sobre el abuso sexual del clero en ese Estado. Tal censura de reacciones honestas es completamente equivocada. Los seminaristas deben sentir que pueden expresar de manera libre, franca y segura el equipo de formación sus inquietudes sobre la comunidad del seminario, sus opiniones o desacuerdos con el proceso de formación y cualquier otra aprehensión o contribución honesta que quieran hacer en un espíritu de diálogo honesto.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 xml:space="preserve">Aunque me gustaría pensar que la mayoría de nuestros seminarios son ambientes saludables, en la medida en que los seminaristas puedan tener inquietudes sobre su propia seguridad o exposición a una posible explotación, 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lastRenderedPageBreak/>
        <w:t>cada seminario debe tener una política clara de acoso sexual y los protocolos correspondientes.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</w:t>
      </w: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Los seminarios deben designar un </w:t>
      </w:r>
      <w:r w:rsidRPr="008F4A56">
        <w:rPr>
          <w:rFonts w:ascii="Arial" w:eastAsia="Times New Roman" w:hAnsi="Arial" w:cs="Arial"/>
          <w:b/>
          <w:bCs/>
          <w:i/>
          <w:iCs/>
          <w:color w:val="616161"/>
          <w:sz w:val="24"/>
          <w:szCs w:val="24"/>
          <w:bdr w:val="none" w:sz="0" w:space="0" w:color="auto" w:frame="1"/>
          <w:lang w:val="es-UY" w:eastAsia="es-UY"/>
        </w:rPr>
        <w:t>Ombudsman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(defensor del pueblo) independiente con el que cualquier persona (seminarista, estudiante o miembro del personal) pueda comunicarse, independientemente de la diócesis, como parte de esa política.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Tercero: en general, los obispos deben reducir la velocidad de la ordenación y considerar una edad mínima para comenzar la formación en el seminario, quizás 22, para que el candidato tenga un título universitario y algo de experiencia laboral en su haber.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Luego podrían continuar con ocho años de formación, comenzando con un año dedicado a la desintoxicación de la cultura y las redes sociales, el crecimiento del autoconocimiento, la oración y una identidad masculina segura.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El último año antes de la ordenación sacerdotal se dedicaría al trabajo intensivo de campo y al ministerio pastoral.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Sin embargo, dada la apremiante necesidad de sacerdotes, la gran mayoría de los obispos se resisten firmemente a la idea de prolongar el proceso de formación.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Pero ¿de qué manera se sirve a la Iglesia apresurando a los hombres a la ordenación antes de que estén listos?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Cuando años más tarde algunos de ellos dudan con adicciones u otras luchas personales, todos pagamos un alto precio.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El proceso de maduración tardía de los hombres jóvenes en estos días está bien documentado.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Mis años de selección de candidatos para el sacerdocio confirman que nuestros hombres necesitan mucho tiempo para permitir que las heridas de la vida sanen y crezcan en una vida interior sólida y bien integrada.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Por más desafiante que sea, los obispos deben pensar en la dirección de una iglesia futura con menos sacerdotes, pero mejor formados.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Cuarto: los obispos no deben asignar a los sacerdotes de seminario que carecen del conjunto de habilidades y el impulso para convertirse en mentores, modelos a seguir y guías morales, matices capturados en el término “formador”.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Un doctorado en teología no hace que un sacerdote sea automáticamente adecuado para tal ministerio.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Los obispos también deben exigir y proporcionar la formación profesional continua de los propios formadores.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Quinto: identifiquemos los seminarios que están trabajando arduamente para lograr una buena formación y aquellos que no lo están.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Los obispos deben convocar un panel independiente de formadores de seminarios experimentados para llevar a cabo una visita y revisión de nuestros seminarios.</w:t>
      </w: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 Los obispos deben pensar seriamente en reformar o cerrar los seminarios que están fallando en su misión.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Sexto: el Centro de Investigación Aplicada sobre el Apostolado (CARA por sus siglas en inglés) recopila anualmente datos sobre los 70 seminarios que sirven a las diócesis estadounidenses. 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Según lo informado por CARA en 2017, 11 de esos seminarios tienen 100 o más seminaristas inscritos, pero un tercio tiene menos de 50 seminaristas.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  <w:t>¿Qué debemos concluir? Estados Unidos no necesita 70 seminarios católicos. Entonces, reduzcamos el número total a 15 o 20 instituciones regionales. Unamos y compartamos a los mejores formadores para servir como equipos en estos seminarios regionales que ofrecen la calidad de formación que nuestros tiempos requieren.</w:t>
      </w: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La formación del seminario necesita un replanteamiento radical. Los obispos deben ser catalizadores en este proceso.</w:t>
      </w: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8F4A56" w:rsidRDefault="008F4A56" w:rsidP="008F4A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Rev. Thomas </w:t>
      </w:r>
      <w:proofErr w:type="spellStart"/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Berg</w:t>
      </w:r>
      <w:proofErr w:type="spellEnd"/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   –    </w:t>
      </w:r>
      <w:proofErr w:type="spellStart"/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The</w:t>
      </w:r>
      <w:proofErr w:type="spellEnd"/>
      <w:r w:rsidRPr="008F4A56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 Washington Post</w:t>
      </w:r>
    </w:p>
    <w:p w:rsid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</w:p>
    <w:p w:rsidR="008F4A56" w:rsidRPr="008F4A56" w:rsidRDefault="008F4A56" w:rsidP="008F4A5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2E2F5B" w:rsidRDefault="008F4A56" w:rsidP="008F4A56">
      <w:pPr>
        <w:tabs>
          <w:tab w:val="left" w:pos="1840"/>
        </w:tabs>
      </w:pPr>
      <w:hyperlink r:id="rId6" w:history="1">
        <w:r w:rsidRPr="00F827FF">
          <w:rPr>
            <w:rStyle w:val="Hipervnculo"/>
          </w:rPr>
          <w:t>http://www.reflexionyliberacion.cl/ryl/2018/11/01/el-abuso-sexual-de-los-sacerdotes-y-los-seminarios-catolicos/</w:t>
        </w:r>
      </w:hyperlink>
    </w:p>
    <w:p w:rsidR="008F4A56" w:rsidRPr="008F4A56" w:rsidRDefault="008F4A56" w:rsidP="008F4A56">
      <w:pPr>
        <w:tabs>
          <w:tab w:val="left" w:pos="1840"/>
        </w:tabs>
      </w:pPr>
    </w:p>
    <w:sectPr w:rsidR="008F4A56" w:rsidRPr="008F4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56"/>
    <w:rsid w:val="002E2F5B"/>
    <w:rsid w:val="008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A1ED"/>
  <w15:chartTrackingRefBased/>
  <w15:docId w15:val="{D53D2520-9F44-420D-9503-D4078FA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F4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A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styleId="Hipervnculo">
    <w:name w:val="Hyperlink"/>
    <w:basedOn w:val="Fuentedeprrafopredeter"/>
    <w:uiPriority w:val="99"/>
    <w:unhideWhenUsed/>
    <w:rsid w:val="008F4A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4A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1371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lexionyliberacion.cl/ryl/2018/11/01/el-abuso-sexual-de-los-sacerdotes-y-los-seminarios-catolico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lexionyliberacion.cl/ryl/2018/11/01/el-abuso-sexual-de-los-sacerdotes-y-los-seminarios-catolic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2018-11-05T11:15:00Z</dcterms:created>
  <dcterms:modified xsi:type="dcterms:W3CDTF">2018-11-05T11:19:00Z</dcterms:modified>
</cp:coreProperties>
</file>