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51B" w:rsidRPr="00D0251B" w:rsidRDefault="00D0251B" w:rsidP="00D0251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val="es-UY" w:eastAsia="es-UY"/>
        </w:rPr>
      </w:pPr>
      <w:r w:rsidRPr="00D0251B">
        <w:rPr>
          <w:rFonts w:ascii="Ovo" w:eastAsia="Times New Roman" w:hAnsi="Ovo" w:cs="Arial"/>
          <w:b/>
          <w:bCs/>
          <w:caps/>
          <w:color w:val="222222"/>
          <w:spacing w:val="8"/>
          <w:kern w:val="36"/>
          <w:sz w:val="39"/>
          <w:szCs w:val="39"/>
          <w:lang w:val="es-UY" w:eastAsia="es-UY"/>
        </w:rPr>
        <w:br/>
        <w:t>EL “CATÓLICO” MAYO DEL 68 ESPAÑOL</w:t>
      </w:r>
    </w:p>
    <w:p w:rsidR="00D0251B" w:rsidRPr="00D0251B" w:rsidRDefault="00D0251B" w:rsidP="00D0251B">
      <w:pPr>
        <w:shd w:val="clear" w:color="auto" w:fill="FFFFFF"/>
        <w:spacing w:after="0" w:line="408" w:lineRule="atLeast"/>
        <w:jc w:val="center"/>
        <w:textAlignment w:val="baseline"/>
        <w:rPr>
          <w:rFonts w:ascii="Arial" w:eastAsia="Times New Roman" w:hAnsi="Arial" w:cs="Arial"/>
          <w:sz w:val="18"/>
          <w:szCs w:val="18"/>
          <w:lang w:val="es-UY" w:eastAsia="es-UY"/>
        </w:rPr>
      </w:pPr>
      <w:r w:rsidRPr="00D0251B">
        <w:rPr>
          <w:rFonts w:ascii="inherit" w:eastAsia="Times New Roman" w:hAnsi="inherit" w:cs="Arial"/>
          <w:sz w:val="18"/>
          <w:szCs w:val="18"/>
          <w:lang w:val="es-UY" w:eastAsia="es-UY"/>
        </w:rPr>
        <w:t>Publicado por </w:t>
      </w:r>
      <w:hyperlink r:id="rId4" w:tgtFrame="_blank" w:tooltip="Entradas de Lala Franco" w:history="1">
        <w:r w:rsidRPr="00D0251B">
          <w:rPr>
            <w:rFonts w:ascii="inherit" w:eastAsia="Times New Roman" w:hAnsi="inherit" w:cs="Arial"/>
            <w:color w:val="0000FF"/>
            <w:sz w:val="18"/>
            <w:szCs w:val="18"/>
            <w:bdr w:val="none" w:sz="0" w:space="0" w:color="auto" w:frame="1"/>
            <w:lang w:val="es-UY" w:eastAsia="es-UY"/>
          </w:rPr>
          <w:t>Lala Franco</w:t>
        </w:r>
      </w:hyperlink>
      <w:r w:rsidRPr="00D0251B">
        <w:rPr>
          <w:rFonts w:ascii="inherit" w:eastAsia="Times New Roman" w:hAnsi="inherit" w:cs="Arial"/>
          <w:sz w:val="18"/>
          <w:szCs w:val="18"/>
          <w:lang w:val="es-UY" w:eastAsia="es-UY"/>
        </w:rPr>
        <w:t> </w:t>
      </w:r>
    </w:p>
    <w:p w:rsidR="00D0251B" w:rsidRPr="00D0251B" w:rsidRDefault="00D0251B" w:rsidP="00D0251B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D0251B">
        <w:rPr>
          <w:rFonts w:ascii="inherit" w:eastAsia="Times New Roman" w:hAnsi="inherit" w:cs="Arial"/>
          <w:color w:val="222222"/>
          <w:sz w:val="24"/>
          <w:szCs w:val="24"/>
          <w:lang w:val="es-UY" w:eastAsia="es-UY"/>
        </w:rPr>
        <w:t> </w:t>
      </w:r>
    </w:p>
    <w:p w:rsidR="00D0251B" w:rsidRPr="00D0251B" w:rsidRDefault="00D0251B" w:rsidP="00D0251B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D0251B">
        <w:rPr>
          <w:rFonts w:ascii="inherit" w:eastAsia="Times New Roman" w:hAnsi="inherit" w:cs="Arial"/>
          <w:color w:val="222222"/>
          <w:sz w:val="24"/>
          <w:szCs w:val="24"/>
          <w:lang w:val="es-UY" w:eastAsia="es-UY"/>
        </w:rPr>
        <w:t>| </w:t>
      </w:r>
      <w:r w:rsidRPr="00D0251B">
        <w:rPr>
          <w:rFonts w:ascii="inherit" w:eastAsia="Times New Roman" w:hAnsi="inherit" w:cs="Arial"/>
          <w:color w:val="222222"/>
          <w:sz w:val="24"/>
          <w:szCs w:val="24"/>
          <w:bdr w:val="none" w:sz="0" w:space="0" w:color="auto" w:frame="1"/>
          <w:lang w:val="es-UY" w:eastAsia="es-UY"/>
        </w:rPr>
        <w:t>7 07UTC noviembre 07UTC 2018 </w:t>
      </w:r>
      <w:r w:rsidRPr="00D0251B">
        <w:rPr>
          <w:rFonts w:ascii="inherit" w:eastAsia="Times New Roman" w:hAnsi="inherit" w:cs="Arial"/>
          <w:color w:val="222222"/>
          <w:sz w:val="24"/>
          <w:szCs w:val="24"/>
          <w:lang w:val="es-UY" w:eastAsia="es-UY"/>
        </w:rPr>
        <w:t>| </w:t>
      </w:r>
      <w:hyperlink r:id="rId5" w:tgtFrame="_blank" w:history="1">
        <w:r w:rsidRPr="00D0251B">
          <w:rPr>
            <w:rFonts w:ascii="inherit" w:eastAsia="Times New Roman" w:hAnsi="inherit" w:cs="Arial"/>
            <w:color w:val="0000FF"/>
            <w:sz w:val="24"/>
            <w:szCs w:val="24"/>
            <w:bdr w:val="none" w:sz="0" w:space="0" w:color="auto" w:frame="1"/>
            <w:lang w:val="es-UY" w:eastAsia="es-UY"/>
          </w:rPr>
          <w:t>A fondo</w:t>
        </w:r>
      </w:hyperlink>
      <w:r w:rsidRPr="00D0251B">
        <w:rPr>
          <w:rFonts w:ascii="inherit" w:eastAsia="Times New Roman" w:hAnsi="inherit" w:cs="Arial"/>
          <w:color w:val="222222"/>
          <w:sz w:val="24"/>
          <w:szCs w:val="24"/>
          <w:lang w:val="es-UY" w:eastAsia="es-UY"/>
        </w:rPr>
        <w:t> | </w:t>
      </w:r>
      <w:hyperlink r:id="rId6" w:anchor="comments" w:tgtFrame="_blank" w:history="1">
        <w:r w:rsidRPr="00D0251B">
          <w:rPr>
            <w:rFonts w:ascii="inherit" w:eastAsia="Times New Roman" w:hAnsi="inherit" w:cs="Arial"/>
            <w:color w:val="0000FF"/>
            <w:sz w:val="24"/>
            <w:szCs w:val="24"/>
            <w:bdr w:val="none" w:sz="0" w:space="0" w:color="auto" w:frame="1"/>
            <w:lang w:val="es-UY" w:eastAsia="es-UY"/>
          </w:rPr>
          <w:t>0 </w:t>
        </w:r>
      </w:hyperlink>
    </w:p>
    <w:p w:rsidR="00D0251B" w:rsidRPr="00D0251B" w:rsidRDefault="00D0251B" w:rsidP="00D0251B">
      <w:pPr>
        <w:shd w:val="clear" w:color="auto" w:fill="FFFFFF"/>
        <w:spacing w:after="0" w:line="408" w:lineRule="atLeast"/>
        <w:jc w:val="center"/>
        <w:textAlignment w:val="baseline"/>
        <w:rPr>
          <w:rFonts w:ascii="Arial" w:eastAsia="Times New Roman" w:hAnsi="Arial" w:cs="Arial"/>
          <w:sz w:val="16"/>
          <w:szCs w:val="16"/>
          <w:lang w:val="es-UY" w:eastAsia="es-UY"/>
        </w:rPr>
      </w:pPr>
      <w:r w:rsidRPr="00D0251B">
        <w:rPr>
          <w:rFonts w:ascii="inherit" w:eastAsia="Times New Roman" w:hAnsi="inherit" w:cs="Arial"/>
          <w:sz w:val="16"/>
          <w:szCs w:val="16"/>
          <w:lang w:val="es-UY" w:eastAsia="es-UY"/>
        </w:rPr>
        <w:t> </w:t>
      </w:r>
      <w:bookmarkStart w:id="0" w:name="_GoBack"/>
      <w:bookmarkEnd w:id="0"/>
    </w:p>
    <w:p w:rsidR="00D0251B" w:rsidRPr="00D0251B" w:rsidRDefault="00D0251B" w:rsidP="00D0251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hyperlink r:id="rId7" w:tgtFrame="_blank" w:history="1">
        <w:r w:rsidRPr="00D0251B">
          <w:rPr>
            <w:rFonts w:ascii="Arial" w:eastAsia="Times New Roman" w:hAnsi="Arial" w:cs="Arial"/>
            <w:i/>
            <w:iCs/>
            <w:color w:val="1155CC"/>
            <w:sz w:val="16"/>
            <w:szCs w:val="16"/>
            <w:u w:val="single"/>
            <w:bdr w:val="none" w:sz="0" w:space="0" w:color="auto" w:frame="1"/>
            <w:lang w:val="es-UY" w:eastAsia="es-UY"/>
          </w:rPr>
          <w:t>http://www.alandar.org/a-fondo/mayo-del-68-catolico-espana/?fbclid=IwAR3L8NF2QCYvAR41y9I9C7sG4rN8wz6eUldqOZICYl1QeCGj1ZfDSR-vDuY</w:t>
        </w:r>
      </w:hyperlink>
      <w:r w:rsidRPr="00D0251B">
        <w:rPr>
          <w:rFonts w:ascii="Arial" w:eastAsia="Times New Roman" w:hAnsi="Arial" w:cs="Arial"/>
          <w:i/>
          <w:iCs/>
          <w:color w:val="222222"/>
          <w:sz w:val="21"/>
          <w:szCs w:val="21"/>
          <w:bdr w:val="none" w:sz="0" w:space="0" w:color="auto" w:frame="1"/>
          <w:lang w:val="es-UY" w:eastAsia="es-UY"/>
        </w:rPr>
        <w:t> </w:t>
      </w:r>
    </w:p>
    <w:p w:rsidR="00D0251B" w:rsidRPr="00D0251B" w:rsidRDefault="00D0251B" w:rsidP="00D0251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D0251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:rsidR="00D0251B" w:rsidRPr="00D0251B" w:rsidRDefault="00D0251B" w:rsidP="00D0251B">
      <w:pPr>
        <w:shd w:val="clear" w:color="auto" w:fill="FFFFFF"/>
        <w:spacing w:after="0" w:line="408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val="es-UY" w:eastAsia="es-UY"/>
        </w:rPr>
      </w:pPr>
      <w:r w:rsidRPr="00D0251B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  <w:lang w:val="es-UY" w:eastAsia="es-UY"/>
        </w:rPr>
        <w:t>La importancia de los movimientos católicos de izquierdas en los años 50 y 60 en España fue tal que algunos consideran que el 68 español fue católico. Así lo ha puesto de manifiesto un reciente coloquio internacional en Madrid.</w:t>
      </w:r>
    </w:p>
    <w:p w:rsidR="00D0251B" w:rsidRPr="00D0251B" w:rsidRDefault="00D0251B" w:rsidP="00D0251B">
      <w:pPr>
        <w:shd w:val="clear" w:color="auto" w:fill="FFFFFF"/>
        <w:spacing w:after="0" w:line="408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val="es-UY" w:eastAsia="es-UY"/>
        </w:rPr>
      </w:pPr>
      <w:r w:rsidRPr="00D0251B">
        <w:rPr>
          <w:rFonts w:ascii="inherit" w:eastAsia="Times New Roman" w:hAnsi="inherit" w:cs="Arial"/>
          <w:sz w:val="24"/>
          <w:szCs w:val="24"/>
          <w:lang w:val="es-UY" w:eastAsia="es-UY"/>
        </w:rPr>
        <w:br/>
      </w:r>
    </w:p>
    <w:p w:rsidR="00D0251B" w:rsidRPr="00D0251B" w:rsidRDefault="00D0251B" w:rsidP="00D0251B">
      <w:pPr>
        <w:shd w:val="clear" w:color="auto" w:fill="FFFFFF"/>
        <w:spacing w:after="0" w:line="408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val="es-UY" w:eastAsia="es-UY"/>
        </w:rPr>
      </w:pPr>
      <w:r w:rsidRPr="00D0251B">
        <w:rPr>
          <w:rFonts w:ascii="inherit" w:eastAsia="Times New Roman" w:hAnsi="inherit" w:cs="Arial"/>
          <w:sz w:val="24"/>
          <w:szCs w:val="24"/>
          <w:lang w:val="es-UY" w:eastAsia="es-UY"/>
        </w:rPr>
        <w:t>La importancia del factor católico en los movimientos sociales de aquellos años previos a mayo del 68 fue decisiva, pero es, sin embargo, relativamente poco conocida y está pidiendo un mayor empeño tanto de investigación como de divulgación de lo sucedido. Esa es la tesis subyacente al coloquio internacional ‘</w:t>
      </w:r>
      <w:proofErr w:type="gramStart"/>
      <w:r w:rsidRPr="00D0251B">
        <w:rPr>
          <w:rFonts w:ascii="inherit" w:eastAsia="Times New Roman" w:hAnsi="inherit" w:cs="Arial"/>
          <w:sz w:val="24"/>
          <w:szCs w:val="24"/>
          <w:lang w:val="es-UY" w:eastAsia="es-UY"/>
        </w:rPr>
        <w:t>Catolicismo</w:t>
      </w:r>
      <w:proofErr w:type="gramEnd"/>
      <w:r w:rsidRPr="00D0251B">
        <w:rPr>
          <w:rFonts w:ascii="inherit" w:eastAsia="Times New Roman" w:hAnsi="inherit" w:cs="Arial"/>
          <w:sz w:val="24"/>
          <w:szCs w:val="24"/>
          <w:lang w:val="es-UY" w:eastAsia="es-UY"/>
        </w:rPr>
        <w:t xml:space="preserve"> e izquierda en torno a 1968’, que acaba de realizarse en Madrid, promovido por la Asociación Española de Historia Religiosa Contemporánea.</w:t>
      </w:r>
    </w:p>
    <w:p w:rsidR="00D0251B" w:rsidRPr="00D0251B" w:rsidRDefault="00D0251B" w:rsidP="00D0251B">
      <w:pPr>
        <w:spacing w:after="384" w:line="408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shd w:val="clear" w:color="auto" w:fill="FFFFFF"/>
          <w:lang w:val="es-UY" w:eastAsia="es-UY"/>
        </w:rPr>
      </w:pPr>
      <w:r w:rsidRPr="00D0251B">
        <w:rPr>
          <w:rFonts w:ascii="inherit" w:eastAsia="Times New Roman" w:hAnsi="inherit" w:cs="Arial"/>
          <w:sz w:val="24"/>
          <w:szCs w:val="24"/>
          <w:shd w:val="clear" w:color="auto" w:fill="FFFFFF"/>
          <w:lang w:val="es-UY" w:eastAsia="es-UY"/>
        </w:rPr>
        <w:t>“Sí se puede hablar del 68 católico español en el marco de un 68 católico también europeo y latinoamericano. En este curso nos ocupamos de un factor que no se tiene muy en cuenta, que es la aportación de los cristianos a través de estos movimientos que unos denominan catolicismo comprometido, catolicismo radical, catolicismo disidente… en definitiva, todos estos movimientos que plantean una manera diferente de compaginar catolicismo y compromiso en el mundo”, afirma Julio de la Cueva, uno de los responsables del coloquio, donde se ha expuesto la actividad de los movimientos obreros, como HOAC y JOC, o estudiantiles, como la JEC o la FECUM, o de los curas obreros, las comunidades de base y Cristianos por el socialismo.</w:t>
      </w:r>
    </w:p>
    <w:p w:rsidR="00D0251B" w:rsidRPr="00D0251B" w:rsidRDefault="00D0251B" w:rsidP="00D0251B">
      <w:pPr>
        <w:spacing w:after="384" w:line="408" w:lineRule="atLeast"/>
        <w:textAlignment w:val="baseline"/>
        <w:rPr>
          <w:rFonts w:ascii="Arial" w:eastAsia="Times New Roman" w:hAnsi="Arial" w:cs="Arial"/>
          <w:sz w:val="24"/>
          <w:szCs w:val="24"/>
          <w:shd w:val="clear" w:color="auto" w:fill="FFFFFF"/>
          <w:lang w:val="es-UY" w:eastAsia="es-UY"/>
        </w:rPr>
      </w:pPr>
      <w:r w:rsidRPr="00D0251B">
        <w:rPr>
          <w:rFonts w:ascii="inherit" w:eastAsia="Times New Roman" w:hAnsi="inherit" w:cs="Arial"/>
          <w:sz w:val="24"/>
          <w:szCs w:val="24"/>
          <w:shd w:val="clear" w:color="auto" w:fill="FFFFFF"/>
          <w:lang w:val="es-UY" w:eastAsia="es-UY"/>
        </w:rPr>
        <w:t xml:space="preserve">Todos ellos hicieron mucho por reconstruir la sociedad civil, tan debilitada por Franco, por lo que el contenido del coloquio viene a ser una “rectificación justa al discurso secular dominante sobre el 68”, según Nigel </w:t>
      </w:r>
      <w:proofErr w:type="spellStart"/>
      <w:r w:rsidRPr="00D0251B">
        <w:rPr>
          <w:rFonts w:ascii="inherit" w:eastAsia="Times New Roman" w:hAnsi="inherit" w:cs="Arial"/>
          <w:sz w:val="24"/>
          <w:szCs w:val="24"/>
          <w:shd w:val="clear" w:color="auto" w:fill="FFFFFF"/>
          <w:lang w:val="es-UY" w:eastAsia="es-UY"/>
        </w:rPr>
        <w:t>Townson</w:t>
      </w:r>
      <w:proofErr w:type="spellEnd"/>
      <w:r w:rsidRPr="00D0251B">
        <w:rPr>
          <w:rFonts w:ascii="inherit" w:eastAsia="Times New Roman" w:hAnsi="inherit" w:cs="Arial"/>
          <w:sz w:val="24"/>
          <w:szCs w:val="24"/>
          <w:shd w:val="clear" w:color="auto" w:fill="FFFFFF"/>
          <w:lang w:val="es-UY" w:eastAsia="es-UY"/>
        </w:rPr>
        <w:t>, de la Universidad Complutense, que ha recogido el testimonio de muchos de los protagonistas de aquella época.</w:t>
      </w:r>
    </w:p>
    <w:p w:rsidR="00D0251B" w:rsidRPr="00D0251B" w:rsidRDefault="00D0251B" w:rsidP="00D0251B">
      <w:pPr>
        <w:spacing w:after="0" w:line="312" w:lineRule="atLeast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s-UY" w:eastAsia="es-UY"/>
        </w:rPr>
      </w:pPr>
      <w:r w:rsidRPr="00D0251B">
        <w:rPr>
          <w:rFonts w:ascii="Ovo" w:eastAsia="Times New Roman" w:hAnsi="Ovo" w:cs="Arial"/>
          <w:b/>
          <w:bCs/>
          <w:spacing w:val="8"/>
          <w:sz w:val="24"/>
          <w:szCs w:val="24"/>
          <w:shd w:val="clear" w:color="auto" w:fill="FFFFFF"/>
          <w:lang w:val="es-UY" w:eastAsia="es-UY"/>
        </w:rPr>
        <w:lastRenderedPageBreak/>
        <w:t>Los cristianos salen de la ciudadela</w:t>
      </w:r>
    </w:p>
    <w:p w:rsidR="00D0251B" w:rsidRPr="00D0251B" w:rsidRDefault="00D0251B" w:rsidP="00D0251B">
      <w:pPr>
        <w:spacing w:after="384" w:line="408" w:lineRule="atLeast"/>
        <w:textAlignment w:val="baseline"/>
        <w:rPr>
          <w:rFonts w:ascii="Arial" w:eastAsia="Times New Roman" w:hAnsi="Arial" w:cs="Arial"/>
          <w:sz w:val="24"/>
          <w:szCs w:val="24"/>
          <w:shd w:val="clear" w:color="auto" w:fill="FFFFFF"/>
          <w:lang w:val="es-UY" w:eastAsia="es-UY"/>
        </w:rPr>
      </w:pPr>
      <w:r w:rsidRPr="00D0251B">
        <w:rPr>
          <w:rFonts w:ascii="inherit" w:eastAsia="Times New Roman" w:hAnsi="inherit" w:cs="Arial"/>
          <w:sz w:val="24"/>
          <w:szCs w:val="24"/>
          <w:shd w:val="clear" w:color="auto" w:fill="FFFFFF"/>
          <w:lang w:val="es-UY" w:eastAsia="es-UY"/>
        </w:rPr>
        <w:t xml:space="preserve">Es el momento en que se pasa de una teología dogmática a una teología de los signos de los tiempos. También es el momento en que se rompe la unidad política de los cristianos, que miran a los movimientos marxistas, colaboran, en muchos casos con los comunistas, y adoptan una visión del hombre basada en la libertad. Los cristianos “salen de la ciudadela”, en expresión de la profesora italiana </w:t>
      </w:r>
      <w:proofErr w:type="spellStart"/>
      <w:r w:rsidRPr="00D0251B">
        <w:rPr>
          <w:rFonts w:ascii="inherit" w:eastAsia="Times New Roman" w:hAnsi="inherit" w:cs="Arial"/>
          <w:sz w:val="24"/>
          <w:szCs w:val="24"/>
          <w:shd w:val="clear" w:color="auto" w:fill="FFFFFF"/>
          <w:lang w:val="es-UY" w:eastAsia="es-UY"/>
        </w:rPr>
        <w:t>Raffaelfa</w:t>
      </w:r>
      <w:proofErr w:type="spellEnd"/>
      <w:r w:rsidRPr="00D0251B">
        <w:rPr>
          <w:rFonts w:ascii="inherit" w:eastAsia="Times New Roman" w:hAnsi="inherit" w:cs="Arial"/>
          <w:sz w:val="24"/>
          <w:szCs w:val="24"/>
          <w:shd w:val="clear" w:color="auto" w:fill="FFFFFF"/>
          <w:lang w:val="es-UY" w:eastAsia="es-UY"/>
        </w:rPr>
        <w:t xml:space="preserve"> </w:t>
      </w:r>
      <w:proofErr w:type="spellStart"/>
      <w:r w:rsidRPr="00D0251B">
        <w:rPr>
          <w:rFonts w:ascii="inherit" w:eastAsia="Times New Roman" w:hAnsi="inherit" w:cs="Arial"/>
          <w:sz w:val="24"/>
          <w:szCs w:val="24"/>
          <w:shd w:val="clear" w:color="auto" w:fill="FFFFFF"/>
          <w:lang w:val="es-UY" w:eastAsia="es-UY"/>
        </w:rPr>
        <w:t>Perin</w:t>
      </w:r>
      <w:proofErr w:type="spellEnd"/>
      <w:r w:rsidRPr="00D0251B">
        <w:rPr>
          <w:rFonts w:ascii="inherit" w:eastAsia="Times New Roman" w:hAnsi="inherit" w:cs="Arial"/>
          <w:sz w:val="24"/>
          <w:szCs w:val="24"/>
          <w:shd w:val="clear" w:color="auto" w:fill="FFFFFF"/>
          <w:lang w:val="es-UY" w:eastAsia="es-UY"/>
        </w:rPr>
        <w:t>.</w:t>
      </w:r>
    </w:p>
    <w:p w:rsidR="00D0251B" w:rsidRPr="00D0251B" w:rsidRDefault="00D0251B" w:rsidP="00D0251B">
      <w:pPr>
        <w:spacing w:after="0" w:line="312" w:lineRule="atLeast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s-UY" w:eastAsia="es-UY"/>
        </w:rPr>
      </w:pPr>
      <w:r w:rsidRPr="00D0251B">
        <w:rPr>
          <w:rFonts w:ascii="Ovo" w:eastAsia="Times New Roman" w:hAnsi="Ovo" w:cs="Arial"/>
          <w:b/>
          <w:bCs/>
          <w:spacing w:val="8"/>
          <w:sz w:val="24"/>
          <w:szCs w:val="24"/>
          <w:shd w:val="clear" w:color="auto" w:fill="FFFFFF"/>
          <w:lang w:val="es-UY" w:eastAsia="es-UY"/>
        </w:rPr>
        <w:t>El acercamiento al marxismo</w:t>
      </w:r>
    </w:p>
    <w:p w:rsidR="00D0251B" w:rsidRPr="00D0251B" w:rsidRDefault="00D0251B" w:rsidP="00D0251B">
      <w:pPr>
        <w:spacing w:after="384" w:line="408" w:lineRule="atLeast"/>
        <w:textAlignment w:val="baseline"/>
        <w:rPr>
          <w:rFonts w:ascii="Arial" w:eastAsia="Times New Roman" w:hAnsi="Arial" w:cs="Arial"/>
          <w:sz w:val="24"/>
          <w:szCs w:val="24"/>
          <w:shd w:val="clear" w:color="auto" w:fill="FFFFFF"/>
          <w:lang w:val="es-UY" w:eastAsia="es-UY"/>
        </w:rPr>
      </w:pPr>
      <w:r w:rsidRPr="00D0251B">
        <w:rPr>
          <w:rFonts w:ascii="inherit" w:eastAsia="Times New Roman" w:hAnsi="inherit" w:cs="Arial"/>
          <w:sz w:val="24"/>
          <w:szCs w:val="24"/>
          <w:shd w:val="clear" w:color="auto" w:fill="FFFFFF"/>
          <w:lang w:val="es-UY" w:eastAsia="es-UY"/>
        </w:rPr>
        <w:t>El PC cree, en el 50, que JOC y HOAC son un intento de la iglesia de “neutralizar a las masas católicas”. Poco después, en el 54, considera a los cristianos progresistas y a sectores democristianos como aliados potenciales frente al franquismo. Ya en el 70, Carrillo afirma que la piedra angular de la lucha de masas es la alianza informal entre católicos y comunistas. Pero, en paralelo a esa colaboración, y a la radicalización de muchos militantes y su ingreso en partidos marxistas, se mantiene la resistencia en parte del mundo cristiano progresista al comunismo, así como la desconfianza de ese mundo. Hay quienes describen a los militantes de la HOAC de aquellos años como “anarco-cristianos infantiloides que debilitan a comunistas y anarquistas”.</w:t>
      </w:r>
    </w:p>
    <w:p w:rsidR="00D0251B" w:rsidRPr="00D0251B" w:rsidRDefault="00D0251B" w:rsidP="00D0251B">
      <w:pPr>
        <w:spacing w:after="0" w:line="312" w:lineRule="atLeast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s-UY" w:eastAsia="es-UY"/>
        </w:rPr>
      </w:pPr>
      <w:r w:rsidRPr="00D0251B">
        <w:rPr>
          <w:rFonts w:ascii="Ovo" w:eastAsia="Times New Roman" w:hAnsi="Ovo" w:cs="Arial"/>
          <w:b/>
          <w:bCs/>
          <w:spacing w:val="8"/>
          <w:sz w:val="24"/>
          <w:szCs w:val="24"/>
          <w:shd w:val="clear" w:color="auto" w:fill="FFFFFF"/>
          <w:lang w:val="es-UY" w:eastAsia="es-UY"/>
        </w:rPr>
        <w:t>Construyendo la laicidad</w:t>
      </w:r>
    </w:p>
    <w:p w:rsidR="00D0251B" w:rsidRPr="00D0251B" w:rsidRDefault="00D0251B" w:rsidP="00D0251B">
      <w:pPr>
        <w:spacing w:after="384" w:line="408" w:lineRule="atLeast"/>
        <w:textAlignment w:val="baseline"/>
        <w:rPr>
          <w:rFonts w:ascii="Arial" w:eastAsia="Times New Roman" w:hAnsi="Arial" w:cs="Arial"/>
          <w:sz w:val="24"/>
          <w:szCs w:val="24"/>
          <w:shd w:val="clear" w:color="auto" w:fill="FFFFFF"/>
          <w:lang w:val="es-UY" w:eastAsia="es-UY"/>
        </w:rPr>
      </w:pPr>
      <w:r w:rsidRPr="00D0251B">
        <w:rPr>
          <w:rFonts w:ascii="inherit" w:eastAsia="Times New Roman" w:hAnsi="inherit" w:cs="Arial"/>
          <w:sz w:val="24"/>
          <w:szCs w:val="24"/>
          <w:shd w:val="clear" w:color="auto" w:fill="FFFFFF"/>
          <w:lang w:val="es-UY" w:eastAsia="es-UY"/>
        </w:rPr>
        <w:t xml:space="preserve">Visto con la perspectiva de los años, el catolicismo progresista español, con sus luces y sombras, hizo una gran aportación no sólo a la democracia y a lo que hoy podemos llamar la construcción de la laicidad en España. Según el profesor Feliciano Montero, otro de los organizadores del coloquio, que ha estudiado a fondo la crisis de la AC especializada, esa crisis “revela y ayuda a comprender el surgimiento durante la última década del franquismo, no solo de la separación Iglesia-Estado, sino de una mentalidad secular, autónoma, con la consiguiente separación del compromiso político y social y la vivencia religiosa en la comunidad de base… La crisis de la AC, y especialmente la de identidad de AC especializada, anticipa la autocrítica y ruptura del modelo nacional y católico del Concordato de 1953, tal y como se expresa en la primera ponencia de la Asamblea Conjunta de 1971, poniendo las bases de la síntesis </w:t>
      </w:r>
      <w:proofErr w:type="gramStart"/>
      <w:r w:rsidRPr="00D0251B">
        <w:rPr>
          <w:rFonts w:ascii="inherit" w:eastAsia="Times New Roman" w:hAnsi="inherit" w:cs="Arial"/>
          <w:sz w:val="24"/>
          <w:szCs w:val="24"/>
          <w:shd w:val="clear" w:color="auto" w:fill="FFFFFF"/>
          <w:lang w:val="es-UY" w:eastAsia="es-UY"/>
        </w:rPr>
        <w:t>Catolicismo</w:t>
      </w:r>
      <w:proofErr w:type="gramEnd"/>
      <w:r w:rsidRPr="00D0251B">
        <w:rPr>
          <w:rFonts w:ascii="inherit" w:eastAsia="Times New Roman" w:hAnsi="inherit" w:cs="Arial"/>
          <w:sz w:val="24"/>
          <w:szCs w:val="24"/>
          <w:shd w:val="clear" w:color="auto" w:fill="FFFFFF"/>
          <w:lang w:val="es-UY" w:eastAsia="es-UY"/>
        </w:rPr>
        <w:t>-laicidad de la Constitución de 1978”.</w:t>
      </w:r>
    </w:p>
    <w:p w:rsidR="00D0251B" w:rsidRPr="00D0251B" w:rsidRDefault="00D0251B" w:rsidP="00D0251B">
      <w:pPr>
        <w:spacing w:after="0" w:line="312" w:lineRule="atLeast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s-UY" w:eastAsia="es-UY"/>
        </w:rPr>
      </w:pPr>
      <w:r w:rsidRPr="00D0251B">
        <w:rPr>
          <w:rFonts w:ascii="Ovo" w:eastAsia="Times New Roman" w:hAnsi="Ovo" w:cs="Arial"/>
          <w:b/>
          <w:bCs/>
          <w:spacing w:val="8"/>
          <w:sz w:val="24"/>
          <w:szCs w:val="24"/>
          <w:shd w:val="clear" w:color="auto" w:fill="FFFFFF"/>
          <w:lang w:val="es-UY" w:eastAsia="es-UY"/>
        </w:rPr>
        <w:lastRenderedPageBreak/>
        <w:t xml:space="preserve">Una </w:t>
      </w:r>
      <w:proofErr w:type="gramStart"/>
      <w:r w:rsidRPr="00D0251B">
        <w:rPr>
          <w:rFonts w:ascii="Ovo" w:eastAsia="Times New Roman" w:hAnsi="Ovo" w:cs="Arial"/>
          <w:b/>
          <w:bCs/>
          <w:spacing w:val="8"/>
          <w:sz w:val="24"/>
          <w:szCs w:val="24"/>
          <w:shd w:val="clear" w:color="auto" w:fill="FFFFFF"/>
          <w:lang w:val="es-UY" w:eastAsia="es-UY"/>
        </w:rPr>
        <w:t>realidad poco conocido</w:t>
      </w:r>
      <w:proofErr w:type="gramEnd"/>
    </w:p>
    <w:p w:rsidR="00D0251B" w:rsidRPr="00D0251B" w:rsidRDefault="00D0251B" w:rsidP="00D0251B">
      <w:pPr>
        <w:spacing w:after="384" w:line="408" w:lineRule="atLeast"/>
        <w:textAlignment w:val="baseline"/>
        <w:rPr>
          <w:rFonts w:ascii="Arial" w:eastAsia="Times New Roman" w:hAnsi="Arial" w:cs="Arial"/>
          <w:sz w:val="24"/>
          <w:szCs w:val="24"/>
          <w:shd w:val="clear" w:color="auto" w:fill="FFFFFF"/>
          <w:lang w:val="es-UY" w:eastAsia="es-UY"/>
        </w:rPr>
      </w:pPr>
      <w:r w:rsidRPr="00D0251B">
        <w:rPr>
          <w:rFonts w:ascii="inherit" w:eastAsia="Times New Roman" w:hAnsi="inherit" w:cs="Arial"/>
          <w:sz w:val="24"/>
          <w:szCs w:val="24"/>
          <w:shd w:val="clear" w:color="auto" w:fill="FFFFFF"/>
          <w:lang w:val="es-UY" w:eastAsia="es-UY"/>
        </w:rPr>
        <w:t>¿Por qué en España se conoce poco de esta aportación? Para Rafael Díaz Salazar, la ausencia de estudios religiosos laicos, lo que hace que muchos consideren a la religión “cosa de curas”, al contrario que como sucede en Francia, es uno de los factores, junto a la deficiente información religiosa en los medios generalistas. También, destacan otros ponentes, porque la reacción con Juan Pablo II fue muy rápida y no dio tiempo a que se asentara en el imaginario social la aportación de esa iglesia progresista que quedó ocultada.</w:t>
      </w:r>
    </w:p>
    <w:p w:rsidR="00D0251B" w:rsidRPr="00D0251B" w:rsidRDefault="00D0251B" w:rsidP="00D0251B">
      <w:pPr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shd w:val="clear" w:color="auto" w:fill="FFFFFF"/>
          <w:lang w:val="es-UY" w:eastAsia="es-UY"/>
        </w:rPr>
      </w:pPr>
      <w:r w:rsidRPr="00D0251B">
        <w:rPr>
          <w:rFonts w:ascii="inherit" w:eastAsia="Times New Roman" w:hAnsi="inherit" w:cs="Arial"/>
          <w:sz w:val="24"/>
          <w:szCs w:val="24"/>
          <w:shd w:val="clear" w:color="auto" w:fill="FFFFFF"/>
          <w:lang w:val="es-UY" w:eastAsia="es-UY"/>
        </w:rPr>
        <w:t xml:space="preserve">En el 70, según Le Monde, ese cristianismo que tantos debates había suscitado por su relación con el </w:t>
      </w:r>
      <w:proofErr w:type="gramStart"/>
      <w:r w:rsidRPr="00D0251B">
        <w:rPr>
          <w:rFonts w:ascii="inherit" w:eastAsia="Times New Roman" w:hAnsi="inherit" w:cs="Arial"/>
          <w:sz w:val="24"/>
          <w:szCs w:val="24"/>
          <w:shd w:val="clear" w:color="auto" w:fill="FFFFFF"/>
          <w:lang w:val="es-UY" w:eastAsia="es-UY"/>
        </w:rPr>
        <w:t>marxismo,</w:t>
      </w:r>
      <w:proofErr w:type="gramEnd"/>
      <w:r w:rsidRPr="00D0251B">
        <w:rPr>
          <w:rFonts w:ascii="inherit" w:eastAsia="Times New Roman" w:hAnsi="inherit" w:cs="Arial"/>
          <w:sz w:val="24"/>
          <w:szCs w:val="24"/>
          <w:shd w:val="clear" w:color="auto" w:fill="FFFFFF"/>
          <w:lang w:val="es-UY" w:eastAsia="es-UY"/>
        </w:rPr>
        <w:t xml:space="preserve"> ha desaparecido de la escena pública. Según Martínez Hoyos, por un exceso de purismo: “se quiere ser tan evangélico, tan puro y perfecto que por el temor a que la evangelización sea un intento de imposición, como pudo ser en tiempos, se renuncia a las formas de trasmitir públicamente la fe, a una evangelización explícita, porque se cree que luchando por la liberación humana eso ya es evangelización… Por eso González Ruiz dice aquello de que ´la fe es gratuita pero no superflua´, frase con la que está respondiendo a una cierta deriva”.</w:t>
      </w:r>
    </w:p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vo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51B"/>
    <w:rsid w:val="002E2F5B"/>
    <w:rsid w:val="00D0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9108F-963A-4914-8044-80AA17C0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landar.org/a-fondo/mayo-del-68-catolico-espana/?fbclid=IwAR3L8NF2QCYvAR41y9I9C7sG4rN8wz6eUldqOZICYl1QeCGj1ZfDSR-vDu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andar.org/a-fondo/mayo-del-68-catolico-espana/" TargetMode="External"/><Relationship Id="rId5" Type="http://schemas.openxmlformats.org/officeDocument/2006/relationships/hyperlink" Target="http://www.alandar.org/a-fondo/" TargetMode="External"/><Relationship Id="rId4" Type="http://schemas.openxmlformats.org/officeDocument/2006/relationships/hyperlink" Target="http://www.alandar.org/author/lal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2018-11-12T12:27:00Z</dcterms:created>
  <dcterms:modified xsi:type="dcterms:W3CDTF">2018-11-12T12:28:00Z</dcterms:modified>
</cp:coreProperties>
</file>