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F06" w:rsidRPr="00514F06" w:rsidRDefault="00514F06" w:rsidP="00514F06">
      <w:pPr>
        <w:shd w:val="clear" w:color="auto" w:fill="FFD966" w:themeFill="accent4" w:themeFillTint="99"/>
        <w:spacing w:after="0" w:line="240" w:lineRule="auto"/>
        <w:jc w:val="center"/>
        <w:rPr>
          <w:rFonts w:ascii="Tahoma" w:eastAsia="Times New Roman" w:hAnsi="Tahoma" w:cs="Tahoma"/>
          <w:color w:val="222222"/>
          <w:sz w:val="24"/>
          <w:szCs w:val="24"/>
          <w:lang w:val="es-UY" w:eastAsia="es-UY"/>
        </w:rPr>
      </w:pPr>
      <w:bookmarkStart w:id="0" w:name="_GoBack"/>
      <w:r w:rsidRPr="00514F06">
        <w:rPr>
          <w:rFonts w:ascii="Tahoma" w:eastAsia="Times New Roman" w:hAnsi="Tahoma" w:cs="Tahoma"/>
          <w:b/>
          <w:bCs/>
          <w:color w:val="000000"/>
          <w:sz w:val="24"/>
          <w:szCs w:val="24"/>
          <w:lang w:val="es-UY" w:eastAsia="es-UY"/>
        </w:rPr>
        <w:t>Trabajadores cristianos de España ponen en marcha un proyecto multimedia para promover la Doctrina Social de la Iglesia</w:t>
      </w:r>
    </w:p>
    <w:bookmarkEnd w:id="0"/>
    <w:p w:rsidR="00514F06" w:rsidRPr="00514F06" w:rsidRDefault="00514F06" w:rsidP="00514F0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s-UY" w:eastAsia="es-UY"/>
        </w:rPr>
      </w:pPr>
    </w:p>
    <w:p w:rsidR="00514F06" w:rsidRPr="00514F06" w:rsidRDefault="00514F06" w:rsidP="00514F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val="es-UY" w:eastAsia="es-UY"/>
        </w:rPr>
      </w:pPr>
      <w:r w:rsidRPr="00514F06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 xml:space="preserve">En el micrositio </w:t>
      </w:r>
      <w:hyperlink r:id="rId4" w:tgtFrame="_blank" w:history="1">
        <w:r w:rsidRPr="00514F06">
          <w:rPr>
            <w:rFonts w:ascii="Tahoma" w:eastAsia="Times New Roman" w:hAnsi="Tahoma" w:cs="Tahoma"/>
            <w:color w:val="3C78D8"/>
            <w:sz w:val="24"/>
            <w:szCs w:val="24"/>
            <w:u w:val="single"/>
            <w:lang w:val="es-UY" w:eastAsia="es-UY"/>
          </w:rPr>
          <w:t>www.hoac.es/dsi</w:t>
        </w:r>
      </w:hyperlink>
      <w:r w:rsidRPr="00514F06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 xml:space="preserve"> la Hermandad Obrera de Acción Católica (HOAC) de España, movimiento de trabajadoras y trabajadores cristianos, contribuye con la misión evangelizadora de la Iglesia en el mundo del trabajo, promoviendo la Doctrina Social de la Iglesia (DSI) con vídeos didácticos dis</w:t>
      </w:r>
      <w:r w:rsidRPr="00514F06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softHyphen/>
        <w:t>po</w:t>
      </w:r>
      <w:r w:rsidRPr="00514F06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softHyphen/>
        <w:t>ni</w:t>
      </w:r>
      <w:r w:rsidRPr="00514F06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softHyphen/>
        <w:t>bles en cas</w:t>
      </w:r>
      <w:r w:rsidRPr="00514F06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softHyphen/>
        <w:t>te</w:t>
      </w:r>
      <w:r w:rsidRPr="00514F06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softHyphen/>
        <w:t>llano, in</w:t>
      </w:r>
      <w:r w:rsidRPr="00514F06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softHyphen/>
        <w:t>glés y fran</w:t>
      </w:r>
      <w:r w:rsidRPr="00514F06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softHyphen/>
        <w:t>cés, que pue</w:t>
      </w:r>
      <w:r w:rsidRPr="00514F06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softHyphen/>
        <w:t>den ser vi</w:t>
      </w:r>
      <w:r w:rsidRPr="00514F06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softHyphen/>
        <w:t>sio</w:t>
      </w:r>
      <w:r w:rsidRPr="00514F06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softHyphen/>
        <w:t>na</w:t>
      </w:r>
      <w:r w:rsidRPr="00514F06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softHyphen/>
        <w:t>dos en cual</w:t>
      </w:r>
      <w:r w:rsidRPr="00514F06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softHyphen/>
        <w:t>quier lu</w:t>
      </w:r>
      <w:r w:rsidRPr="00514F06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softHyphen/>
        <w:t>gar del mun</w:t>
      </w:r>
      <w:r w:rsidRPr="00514F06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softHyphen/>
        <w:t>do y des</w:t>
      </w:r>
      <w:r w:rsidRPr="00514F06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softHyphen/>
        <w:t>de cual</w:t>
      </w:r>
      <w:r w:rsidRPr="00514F06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softHyphen/>
        <w:t>quier so</w:t>
      </w:r>
      <w:r w:rsidRPr="00514F06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softHyphen/>
        <w:t>por</w:t>
      </w:r>
      <w:r w:rsidRPr="00514F06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softHyphen/>
        <w:t>te tec</w:t>
      </w:r>
      <w:r w:rsidRPr="00514F06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softHyphen/>
        <w:t>no</w:t>
      </w:r>
      <w:r w:rsidRPr="00514F06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softHyphen/>
        <w:t>ló</w:t>
      </w:r>
      <w:r w:rsidRPr="00514F06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softHyphen/>
        <w:t>gi</w:t>
      </w:r>
      <w:r w:rsidRPr="00514F06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softHyphen/>
        <w:t>co. (</w:t>
      </w:r>
      <w:hyperlink r:id="rId5" w:tgtFrame="_blank" w:history="1">
        <w:r w:rsidRPr="00514F06">
          <w:rPr>
            <w:rFonts w:ascii="Tahoma" w:eastAsia="Times New Roman" w:hAnsi="Tahoma" w:cs="Tahoma"/>
            <w:color w:val="1155CC"/>
            <w:sz w:val="24"/>
            <w:szCs w:val="24"/>
            <w:u w:val="single"/>
            <w:lang w:val="es-UY" w:eastAsia="es-UY"/>
          </w:rPr>
          <w:t>Vídeo de presentación</w:t>
        </w:r>
      </w:hyperlink>
      <w:r w:rsidRPr="00514F06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>)</w:t>
      </w:r>
    </w:p>
    <w:p w:rsidR="00514F06" w:rsidRPr="00514F06" w:rsidRDefault="00514F06" w:rsidP="00514F0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s-UY" w:eastAsia="es-UY"/>
        </w:rPr>
      </w:pPr>
    </w:p>
    <w:p w:rsidR="00514F06" w:rsidRPr="00514F06" w:rsidRDefault="00514F06" w:rsidP="00514F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val="es-UY" w:eastAsia="es-UY"/>
        </w:rPr>
      </w:pPr>
      <w:r w:rsidRPr="00514F06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 xml:space="preserve">Presentado por la responsable de Compromiso de la HOAC, Milagros Villamarín, y por el obispo emérito de Ciudad Real y responsable de la Pastoral Obrera de la Conferencia Episcopal Española, monseñor Antonio </w:t>
      </w:r>
      <w:proofErr w:type="spellStart"/>
      <w:r w:rsidRPr="00514F06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>Algora</w:t>
      </w:r>
      <w:proofErr w:type="spellEnd"/>
      <w:r w:rsidRPr="00514F06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>, el proyecto</w:t>
      </w:r>
      <w:r w:rsidRPr="00514F06">
        <w:rPr>
          <w:rFonts w:ascii="Tahoma" w:eastAsia="Times New Roman" w:hAnsi="Tahoma" w:cs="Tahoma"/>
          <w:b/>
          <w:bCs/>
          <w:color w:val="000000"/>
          <w:sz w:val="24"/>
          <w:szCs w:val="24"/>
          <w:lang w:val="es-UY" w:eastAsia="es-UY"/>
        </w:rPr>
        <w:t xml:space="preserve"> </w:t>
      </w:r>
      <w:r w:rsidRPr="00514F06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val="es-UY" w:eastAsia="es-UY"/>
        </w:rPr>
        <w:t>La dignidad de la persona y el bien común</w:t>
      </w:r>
      <w:r w:rsidRPr="00514F06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>, pretende seguir ofreciendo respuestas a las necesidades formativas sobre DSI a las iglesias, a las entidades y grupos de ámbito local, como también a la dimensión internacional, en aquellos países donde el Movimiento Mundial de Trabajadores Cristianos (MMTC) desarrolla su misión.</w:t>
      </w:r>
    </w:p>
    <w:p w:rsidR="00514F06" w:rsidRPr="00514F06" w:rsidRDefault="00514F06" w:rsidP="00514F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val="es-UY" w:eastAsia="es-UY"/>
        </w:rPr>
      </w:pPr>
      <w:r w:rsidRPr="00514F06">
        <w:rPr>
          <w:rFonts w:ascii="Tahoma" w:eastAsia="Times New Roman" w:hAnsi="Tahoma" w:cs="Tahoma"/>
          <w:color w:val="222222"/>
          <w:sz w:val="24"/>
          <w:szCs w:val="24"/>
          <w:lang w:val="es-UY" w:eastAsia="es-UY"/>
        </w:rPr>
        <w:t> </w:t>
      </w:r>
    </w:p>
    <w:p w:rsidR="00514F06" w:rsidRPr="00514F06" w:rsidRDefault="00514F06" w:rsidP="00514F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val="es-UY" w:eastAsia="es-UY"/>
        </w:rPr>
      </w:pPr>
      <w:r w:rsidRPr="00514F06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 xml:space="preserve">El papa Francisco, de cuya elección se cumplen seis años, recomienda vivamente el uso y estudio de la DSI como instrumento para abordar la realidad política, económica y socioambiental contemporánea. Recordamos esta fecha, con alegría y como signo, de una Iglesia en salida, que busca transformar el mundo con la mirada puesta en quienes sufren la cultura del descarte de este sistema económico, </w:t>
      </w:r>
    </w:p>
    <w:p w:rsidR="00514F06" w:rsidRPr="00514F06" w:rsidRDefault="00514F06" w:rsidP="00514F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val="es-UY" w:eastAsia="es-UY"/>
        </w:rPr>
      </w:pPr>
      <w:r w:rsidRPr="00514F06">
        <w:rPr>
          <w:rFonts w:ascii="Tahoma" w:eastAsia="Times New Roman" w:hAnsi="Tahoma" w:cs="Tahoma"/>
          <w:color w:val="222222"/>
          <w:sz w:val="24"/>
          <w:szCs w:val="24"/>
          <w:lang w:val="es-UY" w:eastAsia="es-UY"/>
        </w:rPr>
        <w:t> </w:t>
      </w:r>
    </w:p>
    <w:p w:rsidR="00514F06" w:rsidRPr="00514F06" w:rsidRDefault="00514F06" w:rsidP="00514F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val="es-UY" w:eastAsia="es-UY"/>
        </w:rPr>
      </w:pPr>
      <w:r w:rsidRPr="00514F06">
        <w:rPr>
          <w:rFonts w:ascii="Tahoma" w:eastAsia="Times New Roman" w:hAnsi="Tahoma" w:cs="Tahoma"/>
          <w:b/>
          <w:bCs/>
          <w:color w:val="000000"/>
          <w:sz w:val="24"/>
          <w:szCs w:val="24"/>
          <w:lang w:val="es-UY" w:eastAsia="es-UY"/>
        </w:rPr>
        <w:t>Un proyecto de vida digna</w:t>
      </w:r>
    </w:p>
    <w:p w:rsidR="00514F06" w:rsidRPr="00514F06" w:rsidRDefault="00514F06" w:rsidP="00514F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val="es-UY" w:eastAsia="es-UY"/>
        </w:rPr>
      </w:pPr>
      <w:r w:rsidRPr="00514F06">
        <w:rPr>
          <w:rFonts w:ascii="Tahoma" w:eastAsia="Times New Roman" w:hAnsi="Tahoma" w:cs="Tahoma"/>
          <w:color w:val="222222"/>
          <w:sz w:val="24"/>
          <w:szCs w:val="24"/>
          <w:lang w:val="es-UY" w:eastAsia="es-UY"/>
        </w:rPr>
        <w:t> </w:t>
      </w:r>
    </w:p>
    <w:p w:rsidR="00514F06" w:rsidRPr="00514F06" w:rsidRDefault="00514F06" w:rsidP="00514F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val="es-UY" w:eastAsia="es-UY"/>
        </w:rPr>
      </w:pPr>
      <w:r w:rsidRPr="00514F06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>El  sentido de este proyecto es servir de “instrumento para la vida, para favorecer una vida digna, a través de la formación de personas y grupos en el ámbito local y en ámbito internacional, y del compromiso que esta formación puede hacer descubrir en cada uno de nosotros, tras visionar y trabajar los vídeos”, en palabras de Villamarín, quien además ha señalado que es “una aportación al diálogo y reflexión necesarias para construir una nueva cultura política”, capaz de abordar integralmente los problemas económicos, sociales, políticos y ambientales, especialmente aquellos que afectan a las familias trabajadoras de todo el mundo.</w:t>
      </w:r>
    </w:p>
    <w:p w:rsidR="00514F06" w:rsidRPr="00514F06" w:rsidRDefault="00514F06" w:rsidP="00514F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val="es-UY" w:eastAsia="es-UY"/>
        </w:rPr>
      </w:pPr>
      <w:r w:rsidRPr="00514F06">
        <w:rPr>
          <w:rFonts w:ascii="Tahoma" w:eastAsia="Times New Roman" w:hAnsi="Tahoma" w:cs="Tahoma"/>
          <w:color w:val="222222"/>
          <w:sz w:val="24"/>
          <w:szCs w:val="24"/>
          <w:lang w:val="es-UY" w:eastAsia="es-UY"/>
        </w:rPr>
        <w:t> </w:t>
      </w:r>
    </w:p>
    <w:p w:rsidR="00514F06" w:rsidRPr="00514F06" w:rsidRDefault="00514F06" w:rsidP="00514F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val="es-UY" w:eastAsia="es-UY"/>
        </w:rPr>
      </w:pPr>
      <w:r w:rsidRPr="00514F06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>Para Milagros Villamarín, la política es mucho más que la acción de los políticos, “es la actividad que todos realizamos para construir las relaciones sociales y la manera de establecer las condiciones de la organización social y la convivencia”. “Tanto si vamos a votar, como si no, si participamos en una asociación como si no, contribuimos a que la vida social sea como es”.</w:t>
      </w:r>
    </w:p>
    <w:p w:rsidR="00514F06" w:rsidRPr="00514F06" w:rsidRDefault="00514F06" w:rsidP="00514F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val="es-UY" w:eastAsia="es-UY"/>
        </w:rPr>
      </w:pPr>
      <w:r w:rsidRPr="00514F06">
        <w:rPr>
          <w:rFonts w:ascii="Tahoma" w:eastAsia="Times New Roman" w:hAnsi="Tahoma" w:cs="Tahoma"/>
          <w:color w:val="222222"/>
          <w:sz w:val="24"/>
          <w:szCs w:val="24"/>
          <w:lang w:val="es-UY" w:eastAsia="es-UY"/>
        </w:rPr>
        <w:t> </w:t>
      </w:r>
    </w:p>
    <w:p w:rsidR="00514F06" w:rsidRPr="00514F06" w:rsidRDefault="00514F06" w:rsidP="00514F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val="es-UY" w:eastAsia="es-UY"/>
        </w:rPr>
      </w:pPr>
      <w:r w:rsidRPr="00514F06">
        <w:rPr>
          <w:rFonts w:ascii="Tahoma" w:eastAsia="Times New Roman" w:hAnsi="Tahoma" w:cs="Tahoma"/>
          <w:b/>
          <w:bCs/>
          <w:color w:val="000000"/>
          <w:sz w:val="24"/>
          <w:szCs w:val="24"/>
          <w:lang w:val="es-UY" w:eastAsia="es-UY"/>
        </w:rPr>
        <w:t>Para una cultura distinta</w:t>
      </w:r>
    </w:p>
    <w:p w:rsidR="00514F06" w:rsidRPr="00514F06" w:rsidRDefault="00514F06" w:rsidP="00514F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val="es-UY" w:eastAsia="es-UY"/>
        </w:rPr>
      </w:pPr>
      <w:r w:rsidRPr="00514F06">
        <w:rPr>
          <w:rFonts w:ascii="Tahoma" w:eastAsia="Times New Roman" w:hAnsi="Tahoma" w:cs="Tahoma"/>
          <w:color w:val="222222"/>
          <w:sz w:val="24"/>
          <w:szCs w:val="24"/>
          <w:lang w:val="es-UY" w:eastAsia="es-UY"/>
        </w:rPr>
        <w:t> </w:t>
      </w:r>
    </w:p>
    <w:p w:rsidR="00514F06" w:rsidRPr="00514F06" w:rsidRDefault="00514F06" w:rsidP="00514F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val="es-UY" w:eastAsia="es-UY"/>
        </w:rPr>
      </w:pPr>
      <w:r w:rsidRPr="00514F06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 xml:space="preserve">Por su parte, el obispo responsable de la Pastoral Obrera de la Conferencia Episcopal Española, monseñor Antonio </w:t>
      </w:r>
      <w:proofErr w:type="spellStart"/>
      <w:r w:rsidRPr="00514F06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>Algora</w:t>
      </w:r>
      <w:proofErr w:type="spellEnd"/>
      <w:r w:rsidRPr="00514F06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 xml:space="preserve">, ha destacado que la Doctrina </w:t>
      </w:r>
      <w:r w:rsidRPr="00514F06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lastRenderedPageBreak/>
        <w:t xml:space="preserve">Social de la Iglesia ha de entenderse como “producto de la experiencia de la comunidad </w:t>
      </w:r>
      <w:proofErr w:type="spellStart"/>
      <w:proofErr w:type="gramStart"/>
      <w:r w:rsidRPr="00514F06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>cristiana,de</w:t>
      </w:r>
      <w:proofErr w:type="spellEnd"/>
      <w:proofErr w:type="gramEnd"/>
      <w:r w:rsidRPr="00514F06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 xml:space="preserve"> la doctrina pontificia, del magisterio de los obispos y de las vida en la caridad de sus hombres y mujeres; la DSI sin un grupo que la respalde, sin cristianos que vivan lo que creen, no sería posible”</w:t>
      </w:r>
    </w:p>
    <w:p w:rsidR="00514F06" w:rsidRPr="00514F06" w:rsidRDefault="00514F06" w:rsidP="00514F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val="es-UY" w:eastAsia="es-UY"/>
        </w:rPr>
      </w:pPr>
      <w:r w:rsidRPr="00514F06">
        <w:rPr>
          <w:rFonts w:ascii="Tahoma" w:eastAsia="Times New Roman" w:hAnsi="Tahoma" w:cs="Tahoma"/>
          <w:color w:val="222222"/>
          <w:sz w:val="24"/>
          <w:szCs w:val="24"/>
          <w:lang w:val="es-UY" w:eastAsia="es-UY"/>
        </w:rPr>
        <w:t> </w:t>
      </w:r>
    </w:p>
    <w:p w:rsidR="00514F06" w:rsidRPr="00514F06" w:rsidRDefault="00514F06" w:rsidP="00514F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val="es-UY" w:eastAsia="es-UY"/>
        </w:rPr>
      </w:pPr>
      <w:r w:rsidRPr="00514F06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>También ha valorado la idoneidad del proyecto de divulgación de la moral social católica ya que contribuye a crear “una cultura distinta, que nace del amor de Dios a los hombres, que nos encierra a los cristianos en ese deber de amor a la humanidad, para ser testigos que mantienen la dignidad de la persona, participan en el juego social, desde una singularidad natural, esforzándonos subsidiariamente por atender las necesidades de los que no tienen”.</w:t>
      </w:r>
    </w:p>
    <w:p w:rsidR="00514F06" w:rsidRPr="00514F06" w:rsidRDefault="00514F06" w:rsidP="00514F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val="es-UY" w:eastAsia="es-UY"/>
        </w:rPr>
      </w:pPr>
      <w:r w:rsidRPr="00514F06">
        <w:rPr>
          <w:rFonts w:ascii="Tahoma" w:eastAsia="Times New Roman" w:hAnsi="Tahoma" w:cs="Tahoma"/>
          <w:color w:val="222222"/>
          <w:sz w:val="24"/>
          <w:szCs w:val="24"/>
          <w:lang w:val="es-UY" w:eastAsia="es-UY"/>
        </w:rPr>
        <w:t> </w:t>
      </w:r>
    </w:p>
    <w:p w:rsidR="00514F06" w:rsidRPr="00514F06" w:rsidRDefault="00514F06" w:rsidP="00514F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val="es-UY" w:eastAsia="es-UY"/>
        </w:rPr>
      </w:pPr>
      <w:r w:rsidRPr="00514F06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 xml:space="preserve">Así mismo </w:t>
      </w:r>
      <w:proofErr w:type="gramStart"/>
      <w:r w:rsidRPr="00514F06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>ha  mostrado</w:t>
      </w:r>
      <w:proofErr w:type="gramEnd"/>
      <w:r w:rsidRPr="00514F06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 xml:space="preserve"> su agradecimiento a la HOAC por poner en valor y llevar a la práctica, con sus vidas entregadas, la Doctrina Social de la Iglesia que inspira formas de vida diferentes. </w:t>
      </w:r>
      <w:proofErr w:type="spellStart"/>
      <w:r w:rsidRPr="00514F06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>Algora</w:t>
      </w:r>
      <w:proofErr w:type="spellEnd"/>
      <w:r w:rsidRPr="00514F06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 xml:space="preserve"> ha insistido en que “si no hay una conversión del corazón, no habrá cambios de los modos de vida y maneras que explotan a los excluidos y descartados</w:t>
      </w:r>
      <w:proofErr w:type="gramStart"/>
      <w:r w:rsidRPr="00514F06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>; ”</w:t>
      </w:r>
      <w:proofErr w:type="gramEnd"/>
      <w:r w:rsidRPr="00514F06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>. La DSI, en su opinión, ha de ser un “impulso vital” para hacer que este mundo cambie y construir un mundo distinto”</w:t>
      </w:r>
    </w:p>
    <w:p w:rsidR="00514F06" w:rsidRPr="00514F06" w:rsidRDefault="00514F06" w:rsidP="00514F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val="es-UY" w:eastAsia="es-UY"/>
        </w:rPr>
      </w:pPr>
      <w:r w:rsidRPr="00514F06">
        <w:rPr>
          <w:rFonts w:ascii="Tahoma" w:eastAsia="Times New Roman" w:hAnsi="Tahoma" w:cs="Tahoma"/>
          <w:color w:val="222222"/>
          <w:sz w:val="24"/>
          <w:szCs w:val="24"/>
          <w:lang w:val="es-UY" w:eastAsia="es-UY"/>
        </w:rPr>
        <w:t> </w:t>
      </w:r>
    </w:p>
    <w:p w:rsidR="00514F06" w:rsidRPr="00514F06" w:rsidRDefault="00514F06" w:rsidP="00514F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val="es-UY" w:eastAsia="es-UY"/>
        </w:rPr>
      </w:pPr>
      <w:r w:rsidRPr="00514F06">
        <w:rPr>
          <w:rFonts w:ascii="Tahoma" w:eastAsia="Times New Roman" w:hAnsi="Tahoma" w:cs="Tahoma"/>
          <w:b/>
          <w:bCs/>
          <w:color w:val="000000"/>
          <w:sz w:val="24"/>
          <w:szCs w:val="24"/>
          <w:lang w:val="es-UY" w:eastAsia="es-UY"/>
        </w:rPr>
        <w:t>22 vídeos en castellano, inglés y francés</w:t>
      </w:r>
    </w:p>
    <w:p w:rsidR="00514F06" w:rsidRPr="00514F06" w:rsidRDefault="00514F06" w:rsidP="00514F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val="es-UY" w:eastAsia="es-UY"/>
        </w:rPr>
      </w:pPr>
      <w:r w:rsidRPr="00514F06">
        <w:rPr>
          <w:rFonts w:ascii="Tahoma" w:eastAsia="Times New Roman" w:hAnsi="Tahoma" w:cs="Tahoma"/>
          <w:color w:val="222222"/>
          <w:sz w:val="24"/>
          <w:szCs w:val="24"/>
          <w:lang w:val="es-UY" w:eastAsia="es-UY"/>
        </w:rPr>
        <w:t> </w:t>
      </w:r>
    </w:p>
    <w:p w:rsidR="00514F06" w:rsidRPr="00514F06" w:rsidRDefault="00514F06" w:rsidP="00514F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val="es-UY" w:eastAsia="es-UY"/>
        </w:rPr>
      </w:pPr>
      <w:r w:rsidRPr="00514F06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>El proyecto se compone de un vídeo de presentación y veintidós vídeos temáticos, agrupados en tres categorías. La primera, Política del bien común, muestra los vídeos: La dignidad de la persona; La lucha contra la pobreza como centro de la acción política; El bien común (I y II parte</w:t>
      </w:r>
      <w:proofErr w:type="gramStart"/>
      <w:r w:rsidRPr="00514F06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>);  Caminos</w:t>
      </w:r>
      <w:proofErr w:type="gramEnd"/>
      <w:r w:rsidRPr="00514F06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 xml:space="preserve"> para construir el bien común. Una segunda categoría, Comunidad política, cuyos vídeos son: La comunidad política; La democracia como sistema político; La participación en la vida política; Los valores fundamentales en la vida social (I y II parte); Iglesia y comunidad política. Y la tercera categoría, Economía del bien común, está integrada con los vídeos: La vida económica (I y II parte); El destino universal de los bienes; El trabajo humano (I y II parte); La empresa; El cuidado de la creación; La comunidad internacional y el derecho al desarrollo (I y II parte), para acabar </w:t>
      </w:r>
      <w:proofErr w:type="gramStart"/>
      <w:r w:rsidRPr="00514F06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>con  Las</w:t>
      </w:r>
      <w:proofErr w:type="gramEnd"/>
      <w:r w:rsidRPr="00514F06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 xml:space="preserve"> migraciones y el derecho del emigrante (I y II parte).</w:t>
      </w:r>
    </w:p>
    <w:p w:rsidR="00514F06" w:rsidRPr="00514F06" w:rsidRDefault="00514F06" w:rsidP="00514F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val="es-UY" w:eastAsia="es-UY"/>
        </w:rPr>
      </w:pPr>
      <w:r w:rsidRPr="00514F06">
        <w:rPr>
          <w:rFonts w:ascii="Tahoma" w:eastAsia="Times New Roman" w:hAnsi="Tahoma" w:cs="Tahoma"/>
          <w:color w:val="222222"/>
          <w:sz w:val="24"/>
          <w:szCs w:val="24"/>
          <w:lang w:val="es-UY" w:eastAsia="es-UY"/>
        </w:rPr>
        <w:t> </w:t>
      </w:r>
    </w:p>
    <w:p w:rsidR="00514F06" w:rsidRPr="00514F06" w:rsidRDefault="00514F06" w:rsidP="00514F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val="es-UY" w:eastAsia="es-UY"/>
        </w:rPr>
      </w:pPr>
      <w:r w:rsidRPr="00514F06">
        <w:rPr>
          <w:rFonts w:ascii="Tahoma" w:eastAsia="Times New Roman" w:hAnsi="Tahoma" w:cs="Tahoma"/>
          <w:b/>
          <w:bCs/>
          <w:color w:val="000000"/>
          <w:sz w:val="24"/>
          <w:szCs w:val="24"/>
          <w:lang w:val="es-UY" w:eastAsia="es-UY"/>
        </w:rPr>
        <w:t>Ver, juzgar y actuar</w:t>
      </w:r>
    </w:p>
    <w:p w:rsidR="00514F06" w:rsidRPr="00514F06" w:rsidRDefault="00514F06" w:rsidP="00514F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val="es-UY" w:eastAsia="es-UY"/>
        </w:rPr>
      </w:pPr>
      <w:r w:rsidRPr="00514F06">
        <w:rPr>
          <w:rFonts w:ascii="Tahoma" w:eastAsia="Times New Roman" w:hAnsi="Tahoma" w:cs="Tahoma"/>
          <w:color w:val="222222"/>
          <w:sz w:val="24"/>
          <w:szCs w:val="24"/>
          <w:lang w:val="es-UY" w:eastAsia="es-UY"/>
        </w:rPr>
        <w:t> </w:t>
      </w:r>
    </w:p>
    <w:p w:rsidR="00514F06" w:rsidRPr="00514F06" w:rsidRDefault="00514F06" w:rsidP="00514F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val="es-UY" w:eastAsia="es-UY"/>
        </w:rPr>
      </w:pPr>
      <w:r w:rsidRPr="00514F06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>Todos los vídeos tienen una estructura que responde al método «ver», presenta escenas cotidianas que suscitan preguntas; «juzgar», realiza una exposición de los contenidos del capítulo desde la visión de la DSI; y «actuar», plantea pistas o preguntas para el compromiso. Con una duración mínima de dos minutos y máxima de cinco, los vídeos están subtitulados en su idioma y cada uno dispone de una ficha de trabajo.</w:t>
      </w:r>
    </w:p>
    <w:p w:rsidR="00514F06" w:rsidRPr="00514F06" w:rsidRDefault="00514F06" w:rsidP="00514F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val="es-UY" w:eastAsia="es-UY"/>
        </w:rPr>
      </w:pPr>
      <w:r w:rsidRPr="00514F06">
        <w:rPr>
          <w:rFonts w:ascii="Tahoma" w:eastAsia="Times New Roman" w:hAnsi="Tahoma" w:cs="Tahoma"/>
          <w:color w:val="222222"/>
          <w:sz w:val="24"/>
          <w:szCs w:val="24"/>
          <w:lang w:val="es-UY" w:eastAsia="es-UY"/>
        </w:rPr>
        <w:t> </w:t>
      </w:r>
    </w:p>
    <w:p w:rsidR="00514F06" w:rsidRPr="00514F06" w:rsidRDefault="00514F06" w:rsidP="00514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514F06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 xml:space="preserve">El desarrollo multimedia ha sido realizado por </w:t>
      </w:r>
      <w:hyperlink r:id="rId6" w:tgtFrame="_blank" w:history="1">
        <w:r w:rsidRPr="00514F06">
          <w:rPr>
            <w:rFonts w:ascii="Tahoma" w:eastAsia="Times New Roman" w:hAnsi="Tahoma" w:cs="Tahoma"/>
            <w:color w:val="3C78D8"/>
            <w:sz w:val="24"/>
            <w:szCs w:val="24"/>
            <w:u w:val="single"/>
            <w:lang w:val="es-UY" w:eastAsia="es-UY"/>
          </w:rPr>
          <w:t>5 Panes</w:t>
        </w:r>
      </w:hyperlink>
      <w:r w:rsidRPr="00514F06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 xml:space="preserve"> y la financiación ha sido aportada íntegramente por el</w:t>
      </w:r>
      <w:r w:rsidRPr="00514F06">
        <w:rPr>
          <w:rFonts w:ascii="Tahoma" w:eastAsia="Times New Roman" w:hAnsi="Tahoma" w:cs="Tahoma"/>
          <w:color w:val="3C78D8"/>
          <w:sz w:val="24"/>
          <w:szCs w:val="24"/>
          <w:lang w:val="es-UY" w:eastAsia="es-UY"/>
        </w:rPr>
        <w:t xml:space="preserve"> </w:t>
      </w:r>
      <w:hyperlink r:id="rId7" w:tgtFrame="_blank" w:history="1">
        <w:r w:rsidRPr="00514F06">
          <w:rPr>
            <w:rFonts w:ascii="Tahoma" w:eastAsia="Times New Roman" w:hAnsi="Tahoma" w:cs="Tahoma"/>
            <w:color w:val="3C78D8"/>
            <w:sz w:val="24"/>
            <w:szCs w:val="24"/>
            <w:u w:val="single"/>
            <w:lang w:val="es-UY" w:eastAsia="es-UY"/>
          </w:rPr>
          <w:t>Fondo de Solidaridad Internacional (FSI) de la HOAC</w:t>
        </w:r>
      </w:hyperlink>
      <w:r w:rsidRPr="00514F06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>.</w:t>
      </w:r>
      <w:r w:rsidRPr="00514F06">
        <w:rPr>
          <w:rFonts w:ascii="Tahoma" w:eastAsia="Times New Roman" w:hAnsi="Tahoma" w:cs="Tahoma"/>
          <w:color w:val="222222"/>
          <w:sz w:val="24"/>
          <w:szCs w:val="24"/>
          <w:lang w:val="es-UY" w:eastAsia="es-UY"/>
        </w:rPr>
        <w:t>  </w:t>
      </w:r>
    </w:p>
    <w:p w:rsidR="00514F06" w:rsidRPr="00514F06" w:rsidRDefault="00514F06" w:rsidP="00514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06"/>
    <w:rsid w:val="002E2F5B"/>
    <w:rsid w:val="0051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ADCE9-7025-4297-96DF-CC13B8E4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oac.es/que-hacemos/internacional/fondo-de-solidaridad-internaciona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ncopanes.com/" TargetMode="External"/><Relationship Id="rId5" Type="http://schemas.openxmlformats.org/officeDocument/2006/relationships/hyperlink" Target="https://www.youtube.com/watch?v=ND5p09SFKK4" TargetMode="External"/><Relationship Id="rId4" Type="http://schemas.openxmlformats.org/officeDocument/2006/relationships/hyperlink" Target="https://www.hoac.es/ds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907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2019-03-14T14:03:00Z</dcterms:created>
  <dcterms:modified xsi:type="dcterms:W3CDTF">2019-03-14T14:03:00Z</dcterms:modified>
</cp:coreProperties>
</file>