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C7C" w:rsidRPr="002F6C7C" w:rsidRDefault="002F6C7C" w:rsidP="002F6C7C">
      <w:pPr>
        <w:shd w:val="clear" w:color="auto" w:fill="FFFFFF"/>
        <w:spacing w:before="100" w:beforeAutospacing="1" w:after="100" w:afterAutospacing="1" w:line="71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kern w:val="36"/>
          <w:sz w:val="64"/>
          <w:szCs w:val="64"/>
          <w:lang w:val="es-UY" w:eastAsia="es-UY"/>
        </w:rPr>
      </w:pPr>
      <w:r w:rsidRPr="002F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kern w:val="36"/>
          <w:sz w:val="64"/>
          <w:szCs w:val="64"/>
          <w:lang w:val="es-UY" w:eastAsia="es-UY"/>
        </w:rPr>
        <w:t xml:space="preserve">A </w:t>
      </w:r>
      <w:proofErr w:type="spellStart"/>
      <w:r w:rsidRPr="002F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kern w:val="36"/>
          <w:sz w:val="64"/>
          <w:szCs w:val="64"/>
          <w:lang w:val="es-UY" w:eastAsia="es-UY"/>
        </w:rPr>
        <w:t>necropolítica</w:t>
      </w:r>
      <w:proofErr w:type="spellEnd"/>
      <w:r w:rsidRPr="002F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kern w:val="36"/>
          <w:sz w:val="64"/>
          <w:szCs w:val="64"/>
          <w:lang w:val="es-UY" w:eastAsia="es-UY"/>
        </w:rPr>
        <w:t xml:space="preserve"> como </w:t>
      </w:r>
      <w:proofErr w:type="spellStart"/>
      <w:r w:rsidRPr="002F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kern w:val="36"/>
          <w:sz w:val="64"/>
          <w:szCs w:val="64"/>
          <w:lang w:val="es-UY" w:eastAsia="es-UY"/>
        </w:rPr>
        <w:t>regime</w:t>
      </w:r>
      <w:proofErr w:type="spellEnd"/>
      <w:r w:rsidRPr="002F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kern w:val="36"/>
          <w:sz w:val="64"/>
          <w:szCs w:val="64"/>
          <w:lang w:val="es-UY" w:eastAsia="es-UY"/>
        </w:rPr>
        <w:t xml:space="preserve"> de </w:t>
      </w:r>
      <w:proofErr w:type="spellStart"/>
      <w:r w:rsidRPr="002F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kern w:val="36"/>
          <w:sz w:val="64"/>
          <w:szCs w:val="64"/>
          <w:lang w:val="es-UY" w:eastAsia="es-UY"/>
        </w:rPr>
        <w:t>governo</w:t>
      </w:r>
      <w:proofErr w:type="spellEnd"/>
    </w:p>
    <w:p w:rsidR="002F6C7C" w:rsidRPr="002F6C7C" w:rsidRDefault="002F6C7C" w:rsidP="002F6C7C">
      <w:pPr>
        <w:shd w:val="clear" w:color="auto" w:fill="FFFFFF"/>
        <w:spacing w:before="100" w:beforeAutospacing="1" w:after="100" w:afterAutospacing="1" w:line="40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</w:pPr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 xml:space="preserve">O </w:t>
      </w:r>
      <w:proofErr w:type="spellStart"/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>próprio</w:t>
      </w:r>
      <w:proofErr w:type="spellEnd"/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 xml:space="preserve"> </w:t>
      </w:r>
      <w:proofErr w:type="spellStart"/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>funcionamento</w:t>
      </w:r>
      <w:proofErr w:type="spellEnd"/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 xml:space="preserve"> dos Estados da América Latina </w:t>
      </w:r>
      <w:proofErr w:type="spellStart"/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>promove</w:t>
      </w:r>
      <w:proofErr w:type="spellEnd"/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 xml:space="preserve"> em </w:t>
      </w:r>
      <w:proofErr w:type="spellStart"/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>muitas</w:t>
      </w:r>
      <w:proofErr w:type="spellEnd"/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 xml:space="preserve"> </w:t>
      </w:r>
      <w:proofErr w:type="spellStart"/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>ocasiões</w:t>
      </w:r>
      <w:proofErr w:type="spellEnd"/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 xml:space="preserve"> políticas da </w:t>
      </w:r>
      <w:proofErr w:type="spellStart"/>
      <w:r w:rsidRPr="002F6C7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val="es-UY" w:eastAsia="es-UY"/>
        </w:rPr>
        <w:t>morte</w:t>
      </w:r>
      <w:proofErr w:type="spellEnd"/>
    </w:p>
    <w:p w:rsidR="002F6C7C" w:rsidRPr="002F6C7C" w:rsidRDefault="002F6C7C" w:rsidP="002F6C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4A4A4"/>
          <w:sz w:val="26"/>
          <w:szCs w:val="26"/>
          <w:lang w:val="es-UY" w:eastAsia="es-UY"/>
        </w:rPr>
      </w:pPr>
      <w:hyperlink r:id="rId5" w:tooltip="Ver todas as notícias de Debora Diniz" w:history="1">
        <w:r w:rsidRPr="002F6C7C">
          <w:rPr>
            <w:rFonts w:ascii="inherit" w:eastAsia="Times New Roman" w:hAnsi="inherit" w:cs="Arial"/>
            <w:b/>
            <w:bCs/>
            <w:caps/>
            <w:color w:val="111111"/>
            <w:sz w:val="17"/>
            <w:szCs w:val="17"/>
            <w:bdr w:val="none" w:sz="0" w:space="0" w:color="auto" w:frame="1"/>
            <w:lang w:val="es-UY" w:eastAsia="es-UY"/>
          </w:rPr>
          <w:t>DEBORA DINIZ</w:t>
        </w:r>
      </w:hyperlink>
    </w:p>
    <w:p w:rsidR="002F6C7C" w:rsidRPr="002F6C7C" w:rsidRDefault="002F6C7C" w:rsidP="002F6C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4A4A4"/>
          <w:sz w:val="26"/>
          <w:szCs w:val="26"/>
          <w:lang w:val="es-UY" w:eastAsia="es-UY"/>
        </w:rPr>
      </w:pPr>
      <w:hyperlink r:id="rId6" w:tooltip="Ver todas as notícias de Giselle Carino" w:history="1">
        <w:r w:rsidRPr="002F6C7C">
          <w:rPr>
            <w:rFonts w:ascii="inherit" w:eastAsia="Times New Roman" w:hAnsi="inherit" w:cs="Arial"/>
            <w:b/>
            <w:bCs/>
            <w:caps/>
            <w:color w:val="111111"/>
            <w:sz w:val="17"/>
            <w:szCs w:val="17"/>
            <w:bdr w:val="none" w:sz="0" w:space="0" w:color="auto" w:frame="1"/>
            <w:lang w:val="es-UY" w:eastAsia="es-UY"/>
          </w:rPr>
          <w:t>GISELLE CARINO</w:t>
        </w:r>
      </w:hyperlink>
    </w:p>
    <w:p w:rsidR="002F6C7C" w:rsidRPr="002F6C7C" w:rsidRDefault="002F6C7C" w:rsidP="002F6C7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A4A4A4"/>
          <w:sz w:val="26"/>
          <w:szCs w:val="26"/>
          <w:lang w:val="es-UY" w:eastAsia="es-UY"/>
        </w:rPr>
      </w:pPr>
      <w:hyperlink r:id="rId7" w:tooltip="Ver todas as notícias desta data" w:history="1">
        <w:r w:rsidRPr="002F6C7C">
          <w:rPr>
            <w:rFonts w:ascii="inherit" w:eastAsia="Times New Roman" w:hAnsi="inherit" w:cs="Arial"/>
            <w:color w:val="A4A4A4"/>
            <w:sz w:val="26"/>
            <w:szCs w:val="26"/>
            <w:bdr w:val="none" w:sz="0" w:space="0" w:color="auto" w:frame="1"/>
            <w:lang w:val="es-UY" w:eastAsia="es-UY"/>
          </w:rPr>
          <w:t>17 JUL 2019 - 01:50 CEST</w:t>
        </w:r>
      </w:hyperlink>
    </w:p>
    <w:p w:rsidR="002F6C7C" w:rsidRPr="002F6C7C" w:rsidRDefault="002F6C7C" w:rsidP="002F6C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</w:pPr>
      <w:r w:rsidRPr="002F6C7C">
        <w:rPr>
          <w:rFonts w:ascii="Arial" w:eastAsia="Times New Roman" w:hAnsi="Arial" w:cs="Arial"/>
          <w:noProof/>
          <w:color w:val="444444"/>
          <w:sz w:val="26"/>
          <w:szCs w:val="26"/>
          <w:lang w:val="es-UY" w:eastAsia="es-UY"/>
        </w:rPr>
        <w:drawing>
          <wp:inline distT="0" distB="0" distL="0" distR="0" wp14:anchorId="5F26DE79" wp14:editId="7C745BBD">
            <wp:extent cx="5704417" cy="3422650"/>
            <wp:effectExtent l="0" t="0" r="0" b="6350"/>
            <wp:docPr id="10" name="Imagen 10" descr="Uma manifestação contra o assassinato de Marielle Franco no Rio de Janeir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ma manifestação contra o assassinato de Marielle Franco no Rio de Janeir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636" cy="342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bdr w:val="none" w:sz="0" w:space="0" w:color="auto" w:frame="1"/>
          <w:lang w:val="es-UY" w:eastAsia="es-UY"/>
        </w:rPr>
        <w:t>Uma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bdr w:val="none" w:sz="0" w:space="0" w:color="auto" w:frame="1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bdr w:val="none" w:sz="0" w:space="0" w:color="auto" w:frame="1"/>
          <w:lang w:val="es-UY" w:eastAsia="es-UY"/>
        </w:rPr>
        <w:t>manifestação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bdr w:val="none" w:sz="0" w:space="0" w:color="auto" w:frame="1"/>
          <w:lang w:val="es-UY" w:eastAsia="es-UY"/>
        </w:rPr>
        <w:t xml:space="preserve"> contra 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bdr w:val="none" w:sz="0" w:space="0" w:color="auto" w:frame="1"/>
          <w:lang w:val="es-UY" w:eastAsia="es-UY"/>
        </w:rPr>
        <w:t>assassinato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bdr w:val="none" w:sz="0" w:space="0" w:color="auto" w:frame="1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bdr w:val="none" w:sz="0" w:space="0" w:color="auto" w:frame="1"/>
          <w:lang w:val="es-UY" w:eastAsia="es-UY"/>
        </w:rPr>
        <w:t>Marielle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bdr w:val="none" w:sz="0" w:space="0" w:color="auto" w:frame="1"/>
          <w:lang w:val="es-UY" w:eastAsia="es-UY"/>
        </w:rPr>
        <w:t xml:space="preserve"> Franco no Rio de Janeiro.</w: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 </w:t>
      </w:r>
      <w:r w:rsidRPr="002F6C7C">
        <w:rPr>
          <w:rFonts w:ascii="inherit" w:eastAsia="Times New Roman" w:hAnsi="inherit" w:cs="Arial"/>
          <w:caps/>
          <w:color w:val="111111"/>
          <w:bdr w:val="none" w:sz="0" w:space="0" w:color="auto" w:frame="1"/>
          <w:lang w:val="es-UY" w:eastAsia="es-UY"/>
        </w:rPr>
        <w:t>REUTERS</w:t>
      </w:r>
    </w:p>
    <w:p w:rsidR="002F6C7C" w:rsidRPr="002F6C7C" w:rsidRDefault="002F6C7C" w:rsidP="002F6C7C">
      <w:pPr>
        <w:shd w:val="clear" w:color="auto" w:fill="FFFFFF"/>
        <w:spacing w:beforeAutospacing="1" w:after="0" w:afterAutospacing="1" w:line="421" w:lineRule="atLeast"/>
        <w:jc w:val="both"/>
        <w:textAlignment w:val="baseline"/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</w:pPr>
      <w:bookmarkStart w:id="0" w:name="sumario_1"/>
      <w:bookmarkStart w:id="1" w:name="_GoBack"/>
      <w:bookmarkEnd w:id="0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Brasil 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Colômbia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disputam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miserável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primeira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posição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país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mais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arriscado para ser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um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defensor de 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begin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instrText xml:space="preserve"> HYPERLINK "https://brasil.elpais.com/tag/derechos_humanos/a" </w:instrTex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separate"/>
      </w:r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>direitos</w:t>
      </w:r>
      <w:proofErr w:type="spellEnd"/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 xml:space="preserve"> humanos</w: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end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 no mundo. Se 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questão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for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terra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 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begin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instrText xml:space="preserve"> HYPERLINK "https://brasil.elpais.com/tag/medio_ambiente" </w:instrTex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separate"/>
      </w:r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>meio</w:t>
      </w:r>
      <w:proofErr w:type="spellEnd"/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 xml:space="preserve"> ambiente</w: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end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, 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begin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instrText xml:space="preserve"> HYPERLINK "https://www.frontlinedefenders.org/sites/default/files/global_analysis_2018.pdf" \t "_blank" </w:instrTex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separate"/>
      </w:r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>Colômbia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end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 é o país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mais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violento; se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forem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os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direitos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mulheres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população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LGBT, </w:t>
      </w:r>
      <w:hyperlink r:id="rId9" w:tgtFrame="_blank" w:history="1"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>Brasil</w:t>
        </w:r>
      </w:hyperlink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 lidera o ranking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homicídios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. 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fronteira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entre 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questões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direitos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humanos é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uma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tentativa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classificar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onde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estão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os temas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maior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risco em cada país,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porém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histórias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concretas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ativistas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ameaçados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mortos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mostram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como 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fronteira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é nebulosa. 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begin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instrText xml:space="preserve"> HYPERLINK "https://www.elespectador.com/noticias/judicial/nueva-amenaza-contra-yirley-velasco-la-orden-es-desaparecerte-articulo-868771" \t "_blank" </w:instrTex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separate"/>
      </w:r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>Yirley</w:t>
      </w:r>
      <w:proofErr w:type="spellEnd"/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 xml:space="preserve"> Velasco</w: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end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 é campesina,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sobrevivente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Massacre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El Salado,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Colômbia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,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foi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vítima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violência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sexual em 2000.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lastRenderedPageBreak/>
        <w:t>Sofre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ameaças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morte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pelo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trabalho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político em defesa dos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direitos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mulheres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em Montes de María, onde María del Pilar Hurtado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foi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morta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frente dos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filhos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.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Talíria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Petrone é deputada federal, amiga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Marielle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Franco,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vereadora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 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begin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instrText xml:space="preserve"> HYPERLINK "https://brasil.elpais.com/brasil/2019/03/14/politica/1552578193_429103.html" </w:instrTex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separate"/>
      </w:r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>assassinada</w:t>
      </w:r>
      <w:proofErr w:type="spellEnd"/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 xml:space="preserve"> por </w:t>
      </w:r>
      <w:proofErr w:type="spellStart"/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>milícias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end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 no Rio de Janeiro. É voz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ativa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pelos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direitos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humanos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política nacional brasileira 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vem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sofrendo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ameaças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morte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.</w:t>
      </w:r>
    </w:p>
    <w:p w:rsidR="002F6C7C" w:rsidRPr="002F6C7C" w:rsidRDefault="002F6C7C" w:rsidP="002F6C7C">
      <w:pPr>
        <w:shd w:val="clear" w:color="auto" w:fill="FFFFFF"/>
        <w:spacing w:beforeAutospacing="1" w:after="0" w:afterAutospacing="1" w:line="421" w:lineRule="atLeast"/>
        <w:jc w:val="both"/>
        <w:textAlignment w:val="baseline"/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</w:pPr>
      <w:proofErr w:type="gram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Como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classificar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fronteiras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luta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Yirley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Talíria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?</w:t>
      </w:r>
      <w:proofErr w:type="gram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Seriam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questões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terra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questões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urbanas?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Lutas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feministas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lideranças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comunitárias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?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Essas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perguntas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insuficientes para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compreender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complexidade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da agenda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direitos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humanos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atualidade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, em particular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 </w:t>
      </w:r>
      <w:hyperlink r:id="rId10" w:history="1"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>América Latina</w:t>
        </w:r>
      </w:hyperlink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.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Há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um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cruzamento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permanente da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precariedade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da vida que torna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alguns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corpos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suas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lideranças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políticas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mais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vulneráveis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que Achille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Mbembe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descreveu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como a </w:t>
      </w:r>
      <w:hyperlink r:id="rId11" w:tgtFrame="_blank" w:history="1"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>“</w:t>
        </w:r>
        <w:proofErr w:type="spellStart"/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>necropolítica</w:t>
        </w:r>
        <w:proofErr w:type="spellEnd"/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>”</w:t>
        </w:r>
      </w:hyperlink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: políticas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morte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para o controle das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populações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.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Mbembe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se inspira em Michel Foucault,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aula final do curso “Em defesa da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sociedade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”, de 1976. Nela, Foucault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lançou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ideia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como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o racismo de Estado seria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uma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táticas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 </w:t>
      </w:r>
      <w:hyperlink r:id="rId12" w:tgtFrame="_blank" w:history="1"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 xml:space="preserve">do biopoder </w:t>
        </w:r>
        <w:proofErr w:type="gramStart"/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>e</w:t>
        </w:r>
        <w:proofErr w:type="gramEnd"/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 xml:space="preserve"> da biopolítica</w:t>
        </w:r>
      </w:hyperlink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. Entre o poder de “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fazer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viver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deixar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morrer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”, o racismo de Estado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determinaria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condições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aceitabilidade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para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quem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vive 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morre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.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Mbembe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foi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além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Foucault: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mostrou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como o biopoder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é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insuficiente para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compreender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relações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inimizade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perseguição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contemporâneas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,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pois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há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uma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necropolítica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em curso para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produzir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os “mundos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morte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”.</w:t>
      </w:r>
    </w:p>
    <w:p w:rsidR="002F6C7C" w:rsidRPr="002F6C7C" w:rsidRDefault="002F6C7C" w:rsidP="002F6C7C">
      <w:pPr>
        <w:shd w:val="clear" w:color="auto" w:fill="FFFFFF"/>
        <w:spacing w:beforeAutospacing="1" w:after="0" w:afterAutospacing="1" w:line="421" w:lineRule="atLeast"/>
        <w:jc w:val="both"/>
        <w:textAlignment w:val="baseline"/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</w:pP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Yirley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leu no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bilhete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depositado em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sua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casa em que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dizia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, “a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ordem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é desaparecer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você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”.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Talíria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foi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informada pela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polícia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que os planos para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matá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-la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antigos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orquestrados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internet profunda. 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duas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líderes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direitos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humanos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pediram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proteção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seus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governos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para se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manterem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vivas.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Talíria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teve o pedido ignorado pelo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governador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do estado do Rio de Janeiro, por onde é deputada federal 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foi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 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begin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instrText xml:space="preserve"> HYPERLINK "https://twitter.com/taliriapetrone/status/1144232883797811201" \t "_blank" </w:instrTex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separate"/>
      </w:r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>às</w:t>
      </w:r>
      <w:proofErr w:type="spellEnd"/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 xml:space="preserve"> redes </w:t>
      </w:r>
      <w:proofErr w:type="spellStart"/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>sociais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end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 contar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sua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história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;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Yirley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foi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 </w:t>
      </w:r>
      <w:hyperlink r:id="rId13" w:tgtFrame="_blank" w:history="1"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 xml:space="preserve">canal de </w:t>
        </w:r>
        <w:proofErr w:type="spellStart"/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>Youtube</w:t>
        </w:r>
        <w:proofErr w:type="spellEnd"/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 xml:space="preserve"> de Daniel Samper Ospina</w:t>
        </w:r>
      </w:hyperlink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 para contar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sua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história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. </w:t>
      </w:r>
      <w:proofErr w:type="spellStart"/>
      <w:proofErr w:type="gram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Por que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Talíria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Yirley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escolheram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um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caminho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exposição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pública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semelhante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 </w: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lastRenderedPageBreak/>
        <w:t xml:space="preserve">alternativo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oficiais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do Estado?</w:t>
      </w:r>
      <w:proofErr w:type="gram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Porque os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corsários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 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milícias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necropolítica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estão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imiscuídas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no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próprio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governo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da política em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nossos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países. É 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próprio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funcionamento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dos Estados-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nação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que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movem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políticas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morte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, como o racismo, a misoginia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 homofobia. São, como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descreve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Mbembe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, estados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assassinos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porque racistas.</w:t>
      </w:r>
    </w:p>
    <w:p w:rsidR="002F6C7C" w:rsidRPr="002F6C7C" w:rsidRDefault="002F6C7C" w:rsidP="002F6C7C">
      <w:pPr>
        <w:shd w:val="clear" w:color="auto" w:fill="FFFFFF"/>
        <w:spacing w:beforeAutospacing="1" w:after="0" w:afterAutospacing="1" w:line="421" w:lineRule="atLeast"/>
        <w:jc w:val="both"/>
        <w:textAlignment w:val="baseline"/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</w:pP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duas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histórias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nos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provocam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pensar o que se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passa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América Latina — ora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descrevemos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mudanças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políticas como onda conservadora, populista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evangélica. Todas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essas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são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táticas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necropolítica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para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estabelecer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o corte entre o que “pode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fazer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viver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 o que pode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deixar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morrer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”.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Quanto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mais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frágeis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forem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populações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, como 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mulheres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 as meninas negras, indígenas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deficiência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,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maior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desequilíbrio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entre o poder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vida </w:t>
      </w:r>
      <w:proofErr w:type="gram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</w:t>
      </w:r>
      <w:proofErr w:type="gram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morte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.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é por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coincidência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que </w:t>
      </w:r>
      <w:hyperlink r:id="rId14" w:tgtFrame="_blank" w:history="1"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>“</w:t>
        </w:r>
        <w:proofErr w:type="spellStart"/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>feminicídio</w:t>
        </w:r>
        <w:proofErr w:type="spellEnd"/>
        <w:r w:rsidRPr="002F6C7C">
          <w:rPr>
            <w:rFonts w:ascii="Arial" w:eastAsia="Times New Roman" w:hAnsi="Arial" w:cs="Arial"/>
            <w:color w:val="016CA2"/>
            <w:sz w:val="26"/>
            <w:szCs w:val="26"/>
            <w:bdr w:val="none" w:sz="0" w:space="0" w:color="auto" w:frame="1"/>
            <w:lang w:val="es-UY" w:eastAsia="es-UY"/>
          </w:rPr>
          <w:t>”</w:t>
        </w:r>
      </w:hyperlink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 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foi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vocábulo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posto em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circulação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pelas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mulheres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do Sul Global,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assim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como ser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uma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ativista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mulher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direitos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humanos é cada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 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begin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instrText xml:space="preserve"> HYPERLINK "https://news.un.org/en/story/2018/11/1026861" \t "_blank" </w:instrTex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separate"/>
      </w:r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>atividade</w:t>
      </w:r>
      <w:proofErr w:type="spellEnd"/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>mais</w:t>
      </w:r>
      <w:proofErr w:type="spellEnd"/>
      <w:r w:rsidRPr="002F6C7C">
        <w:rPr>
          <w:rFonts w:ascii="Arial" w:eastAsia="Times New Roman" w:hAnsi="Arial" w:cs="Arial"/>
          <w:color w:val="016CA2"/>
          <w:sz w:val="26"/>
          <w:szCs w:val="26"/>
          <w:bdr w:val="none" w:sz="0" w:space="0" w:color="auto" w:frame="1"/>
          <w:lang w:val="es-UY" w:eastAsia="es-UY"/>
        </w:rPr>
        <w:t xml:space="preserve"> arriscada</w:t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fldChar w:fldCharType="end"/>
      </w:r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. 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relações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inimizade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, como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descreve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Mbembe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, se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movimentam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pelo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direito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matar, “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estabelecem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cortes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aceitabilidade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para tirar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uma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vida”, instaurando os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regimes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medo 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precariedade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.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Quando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funcionamento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do Estado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escancara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necropolítica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como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regime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governo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populações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,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passamos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descrever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desordem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como “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emergência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”, “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conflito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armado”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ou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“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crise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humanitária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”. A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verdade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é que 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táticas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exclusão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perseguição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já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estavam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instauradas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muito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antes de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nomeá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-</w:t>
      </w:r>
      <w:proofErr w:type="gram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las pelos</w:t>
      </w:r>
      <w:proofErr w:type="gram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</w:t>
      </w:r>
      <w:proofErr w:type="spellStart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>vocábulos</w:t>
      </w:r>
      <w:proofErr w:type="spellEnd"/>
      <w:r w:rsidRPr="002F6C7C">
        <w:rPr>
          <w:rFonts w:ascii="Arial" w:eastAsia="Times New Roman" w:hAnsi="Arial" w:cs="Arial"/>
          <w:color w:val="444444"/>
          <w:sz w:val="26"/>
          <w:szCs w:val="26"/>
          <w:lang w:val="es-UY" w:eastAsia="es-UY"/>
        </w:rPr>
        <w:t xml:space="preserve"> do horror.</w:t>
      </w:r>
    </w:p>
    <w:bookmarkEnd w:id="1"/>
    <w:p w:rsidR="002F6C7C" w:rsidRPr="002F6C7C" w:rsidRDefault="002F6C7C" w:rsidP="002F6C7C">
      <w:pPr>
        <w:pBdr>
          <w:top w:val="single" w:sz="24" w:space="0" w:color="EBEBEB"/>
        </w:pBdr>
        <w:shd w:val="clear" w:color="auto" w:fill="FFFFFF"/>
        <w:spacing w:beforeAutospacing="1" w:after="0" w:afterAutospacing="1" w:line="421" w:lineRule="atLeast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</w:pPr>
      <w:proofErr w:type="spellStart"/>
      <w:r w:rsidRPr="002F6C7C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val="es-UY" w:eastAsia="es-UY"/>
        </w:rPr>
        <w:t>Debora</w:t>
      </w:r>
      <w:proofErr w:type="spellEnd"/>
      <w:r w:rsidRPr="002F6C7C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val="es-UY" w:eastAsia="es-UY"/>
        </w:rPr>
        <w:t xml:space="preserve"> Diniz</w:t>
      </w:r>
      <w:r w:rsidRPr="002F6C7C"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  <w:t xml:space="preserve"> é brasileira, antropóloga, </w:t>
      </w:r>
      <w:proofErr w:type="spellStart"/>
      <w:r w:rsidRPr="002F6C7C"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  <w:t>pesquisadora</w:t>
      </w:r>
      <w:proofErr w:type="spellEnd"/>
      <w:r w:rsidRPr="002F6C7C"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  <w:t xml:space="preserve"> da </w:t>
      </w:r>
      <w:proofErr w:type="spellStart"/>
      <w:r w:rsidRPr="002F6C7C"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  <w:t>Universidade</w:t>
      </w:r>
      <w:proofErr w:type="spellEnd"/>
      <w:r w:rsidRPr="002F6C7C"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  <w:t xml:space="preserve"> de Brown.</w:t>
      </w:r>
    </w:p>
    <w:p w:rsidR="002F6C7C" w:rsidRPr="002F6C7C" w:rsidRDefault="002F6C7C" w:rsidP="002F6C7C">
      <w:pPr>
        <w:pBdr>
          <w:top w:val="single" w:sz="24" w:space="0" w:color="EBEBEB"/>
        </w:pBdr>
        <w:shd w:val="clear" w:color="auto" w:fill="FFFFFF"/>
        <w:spacing w:beforeAutospacing="1" w:after="0" w:afterAutospacing="1" w:line="421" w:lineRule="atLeast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</w:pPr>
      <w:r w:rsidRPr="002F6C7C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val="es-UY" w:eastAsia="es-UY"/>
        </w:rPr>
        <w:t xml:space="preserve">Giselle </w:t>
      </w:r>
      <w:proofErr w:type="spellStart"/>
      <w:r w:rsidRPr="002F6C7C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val="es-UY" w:eastAsia="es-UY"/>
        </w:rPr>
        <w:t>Carino</w:t>
      </w:r>
      <w:proofErr w:type="spellEnd"/>
      <w:r w:rsidRPr="002F6C7C"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  <w:t xml:space="preserve"> é argentina, </w:t>
      </w:r>
      <w:proofErr w:type="spellStart"/>
      <w:r w:rsidRPr="002F6C7C"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  <w:t>cientista</w:t>
      </w:r>
      <w:proofErr w:type="spellEnd"/>
      <w:r w:rsidRPr="002F6C7C"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  <w:t xml:space="preserve"> política, </w:t>
      </w:r>
      <w:proofErr w:type="spellStart"/>
      <w:r w:rsidRPr="002F6C7C"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  <w:t>diretora</w:t>
      </w:r>
      <w:proofErr w:type="spellEnd"/>
      <w:r w:rsidRPr="002F6C7C">
        <w:rPr>
          <w:rFonts w:ascii="inherit" w:eastAsia="Times New Roman" w:hAnsi="inherit" w:cs="Arial"/>
          <w:color w:val="444444"/>
          <w:sz w:val="26"/>
          <w:szCs w:val="26"/>
          <w:lang w:val="es-UY" w:eastAsia="es-UY"/>
        </w:rPr>
        <w:t xml:space="preserve"> da IPPF/WHR.</w:t>
      </w:r>
    </w:p>
    <w:p w:rsidR="002E2F5B" w:rsidRDefault="002F6C7C">
      <w:hyperlink r:id="rId15" w:history="1">
        <w:r>
          <w:rPr>
            <w:rStyle w:val="Hipervnculo"/>
          </w:rPr>
          <w:t>https://brasil.elpais.com/brasil/2019/07/09/opinion/1562688743_395031.html</w:t>
        </w:r>
      </w:hyperlink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35D47"/>
    <w:multiLevelType w:val="multilevel"/>
    <w:tmpl w:val="5A5A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7C"/>
    <w:rsid w:val="002E2F5B"/>
    <w:rsid w:val="002F6C7C"/>
    <w:rsid w:val="0066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AD94B-5B65-4CA9-B073-EC6E219C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6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C7C"/>
    <w:rPr>
      <w:rFonts w:ascii="Segoe UI" w:hAnsi="Segoe UI" w:cs="Segoe UI"/>
      <w:sz w:val="18"/>
      <w:szCs w:val="18"/>
      <w:lang w:val="es-419"/>
    </w:rPr>
  </w:style>
  <w:style w:type="character" w:styleId="Hipervnculo">
    <w:name w:val="Hyperlink"/>
    <w:basedOn w:val="Fuentedeprrafopredeter"/>
    <w:uiPriority w:val="99"/>
    <w:semiHidden/>
    <w:unhideWhenUsed/>
    <w:rsid w:val="002F6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24016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1849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5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5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9-trhKXGVZ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sil.elpais.com/tag/fecha/20190717" TargetMode="External"/><Relationship Id="rId12" Type="http://schemas.openxmlformats.org/officeDocument/2006/relationships/hyperlink" Target="https://www.raison-publique.fr/article536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rasil.elpais.com/autor/giselle_carino/a/" TargetMode="External"/><Relationship Id="rId11" Type="http://schemas.openxmlformats.org/officeDocument/2006/relationships/hyperlink" Target="https://muse.jhu.edu/article/39984" TargetMode="External"/><Relationship Id="rId5" Type="http://schemas.openxmlformats.org/officeDocument/2006/relationships/hyperlink" Target="https://brasil.elpais.com/autor/debora_diniz/a/" TargetMode="External"/><Relationship Id="rId15" Type="http://schemas.openxmlformats.org/officeDocument/2006/relationships/hyperlink" Target="https://brasil.elpais.com/brasil/2019/07/09/opinion/1562688743_395031.html" TargetMode="External"/><Relationship Id="rId10" Type="http://schemas.openxmlformats.org/officeDocument/2006/relationships/hyperlink" Target="https://brasil.elpais.com/tag/latinoamerica/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istia.org.br/entre-em-acao/carta/informe-anual-20172018-o-estado-dos-direitos-humanos-mundo/" TargetMode="External"/><Relationship Id="rId14" Type="http://schemas.openxmlformats.org/officeDocument/2006/relationships/hyperlink" Target="https://es.wikipedia.org/wiki/Feminicid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2019-07-22T14:07:00Z</dcterms:created>
  <dcterms:modified xsi:type="dcterms:W3CDTF">2019-07-22T14:07:00Z</dcterms:modified>
</cp:coreProperties>
</file>