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057D8C" w:rsidRPr="00057D8C" w:rsidTr="00057D8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57D8C" w:rsidRPr="00057D8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57D8C" w:rsidRPr="00057D8C" w:rsidTr="00057D8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57D8C" w:rsidRPr="00057D8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</w:tblGrid>
                              <w:tr w:rsidR="00057D8C" w:rsidRPr="00057D8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57D8C" w:rsidRPr="00057D8C" w:rsidRDefault="00057D8C" w:rsidP="00057D8C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sz w:val="24"/>
                                        <w:szCs w:val="24"/>
                                        <w:lang w:val="es-UY" w:eastAsia="es-UY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  <w:lang w:val="es-UY" w:eastAsia="es-UY"/>
                                </w:rPr>
                              </w:pPr>
                            </w:p>
                          </w:tc>
                        </w:tr>
                      </w:tbl>
                      <w:p w:rsidR="00057D8C" w:rsidRPr="00057D8C" w:rsidRDefault="00057D8C" w:rsidP="00057D8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s-UY" w:eastAsia="es-UY"/>
                          </w:rPr>
                        </w:pPr>
                      </w:p>
                    </w:tc>
                  </w:tr>
                </w:tbl>
                <w:p w:rsidR="00057D8C" w:rsidRPr="00057D8C" w:rsidRDefault="00057D8C" w:rsidP="00057D8C">
                  <w:pPr>
                    <w:spacing w:after="0" w:line="240" w:lineRule="auto"/>
                    <w:jc w:val="center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:rsidR="00057D8C" w:rsidRPr="00057D8C" w:rsidRDefault="00057D8C" w:rsidP="00057D8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s-UY" w:eastAsia="es-UY"/>
              </w:rPr>
            </w:pPr>
          </w:p>
        </w:tc>
      </w:tr>
      <w:tr w:rsidR="00057D8C" w:rsidRPr="00057D8C" w:rsidTr="00057D8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57D8C" w:rsidRDefault="00057D8C" w:rsidP="00057D8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762500" cy="15811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7D8C" w:rsidRPr="00057D8C" w:rsidRDefault="00057D8C" w:rsidP="00057D8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s-UY" w:eastAsia="es-UY"/>
              </w:rPr>
            </w:pPr>
            <w:bookmarkStart w:id="0" w:name="_GoBack"/>
            <w:bookmarkEnd w:id="0"/>
          </w:p>
        </w:tc>
      </w:tr>
      <w:tr w:rsidR="00057D8C" w:rsidRPr="00057D8C" w:rsidTr="00057D8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057D8C" w:rsidRPr="00057D8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4"/>
                  </w:tblGrid>
                  <w:tr w:rsidR="00057D8C" w:rsidRPr="00057D8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4"/>
                        </w:tblGrid>
                        <w:tr w:rsidR="00057D8C" w:rsidRPr="00057D8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04"/>
                              </w:tblGrid>
                              <w:tr w:rsidR="00057D8C" w:rsidRPr="00057D8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CCCCCC"/>
                                    </w:tcBorders>
                                    <w:vAlign w:val="center"/>
                                    <w:hideMark/>
                                  </w:tcPr>
                                  <w:p w:rsidR="00057D8C" w:rsidRPr="00057D8C" w:rsidRDefault="00057D8C" w:rsidP="00057D8C">
                                    <w:pPr>
                                      <w:spacing w:after="0" w:line="0" w:lineRule="auto"/>
                                      <w:rPr>
                                        <w:rFonts w:ascii="Helvetica" w:eastAsia="Times New Roman" w:hAnsi="Helvetica" w:cs="Helvetica"/>
                                        <w:sz w:val="24"/>
                                        <w:szCs w:val="24"/>
                                        <w:lang w:val="es-UY" w:eastAsia="es-UY"/>
                                      </w:rPr>
                                    </w:pPr>
                                    <w:r w:rsidRPr="00057D8C">
                                      <w:rPr>
                                        <w:rFonts w:ascii="Helvetica" w:eastAsia="Times New Roman" w:hAnsi="Helvetica" w:cs="Helvetica"/>
                                        <w:sz w:val="24"/>
                                        <w:szCs w:val="24"/>
                                        <w:lang w:val="es-UY" w:eastAsia="es-UY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  <w:lang w:val="es-UY" w:eastAsia="es-UY"/>
                                </w:rPr>
                              </w:pPr>
                            </w:p>
                          </w:tc>
                        </w:tr>
                      </w:tbl>
                      <w:p w:rsidR="00057D8C" w:rsidRPr="00057D8C" w:rsidRDefault="00057D8C" w:rsidP="00057D8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vanish/>
                            <w:sz w:val="24"/>
                            <w:szCs w:val="24"/>
                            <w:lang w:val="es-UY" w:eastAsia="es-UY"/>
                          </w:rPr>
                        </w:pPr>
                      </w:p>
                      <w:tbl>
                        <w:tblPr>
                          <w:tblW w:w="9000" w:type="dxa"/>
                          <w:tblCellSpacing w:w="0" w:type="dxa"/>
                          <w:tblInd w:w="67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57D8C" w:rsidRPr="00057D8C" w:rsidTr="00057D8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Vejam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belos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importantes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livros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lançados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agora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em agosto pela Editora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Livraria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Expressão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Popular.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 - DA DISTOPIA CAPITALISTA À UTOPIA SOCIALISTA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Notícias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lugar </w:t>
                              </w:r>
                              <w:proofErr w:type="spellStart"/>
                              <w:proofErr w:type="gramStart"/>
                              <w:r w:rsidRPr="00057D8C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nenhum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?</w:t>
                              </w:r>
                              <w:proofErr w:type="gramEnd"/>
                              <w:r w:rsidRPr="00057D8C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ou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uma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época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tranquilidade</w:t>
                              </w:r>
                              <w:proofErr w:type="spellEnd"/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William Morris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SINOPSE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livro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Notícias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lugar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nenhum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 é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romance utópico.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Propõe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visão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imaginária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da Inglaterra no ano 2102,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após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revolução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socialista. [...] O título é,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sem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dúvida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homenagem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 Thomas More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seu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célebre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livro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Utopia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de 1518 – que significa, em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grego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"lugar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nenhum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" –, que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apresenta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ilha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cujos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habitantes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haviam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estabelecido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sociedade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tipo comunista. Mas,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enquanto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utopia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Thomas More e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muitos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socialistas utópicos do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século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XIX [...]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situam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comunidade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harmoniosa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num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outro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espaço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em Morris é 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eixo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temporal que predomina: 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Nowhere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é algo que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existe em "lugar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nenhum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"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ainda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que existirá, </w:t>
                              </w:r>
                              <w:proofErr w:type="gram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talvez</w:t>
                              </w:r>
                              <w:proofErr w:type="gram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no futuro. 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princípio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motor de Morris é 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Princípio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Esperança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sonho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acordado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daquilo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que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ainda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-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-existe (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Noch-nicht-sein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), de que fala Ernst Bloch. [...]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romantismo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Morris é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protesto contra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civilização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capitalista/industrial moderna, em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nome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valores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culturais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ou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sociais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pré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-capitalistas,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revolta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contra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reificação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quantificação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o desencanto do mundo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produzido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pela lógica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implacável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mercadoria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do lucro. [...]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Esse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romantismo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se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manifesta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busca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vida social em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harmonia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natureza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como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formas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comunitárias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passado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. [...]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Outro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debate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interessante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é sobre as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liberdades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individuais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nova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coletividade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. [...]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dos aspectos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mais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profundamente modernos do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livro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os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seus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valores: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liberdade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igualdade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fraternidade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democracia,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solidariedade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. [...]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O autor de 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Notícias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lugar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nenhum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aprendeu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lição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comum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 Marx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anarquistas: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utopia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pode se realizar abandonando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sociedade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corrupta para experimentar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vida harmoniosa em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suas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margens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. 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desafio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é transformar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própria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sociedade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graças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coletiva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das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classes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oprimidas. Em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outras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palavras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: William Morris é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utopista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revolucionário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marxista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libertário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. (Michael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Löwy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Leandro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Konder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)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TRECHO DO LIVRO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"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Quando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conflito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realmente se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iniciou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viu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-se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como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havia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pouca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coisa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valiosa no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velho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mundo da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escravidão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da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desigualdade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. [...] mas no tempo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luta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que se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seguiu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tudo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era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esperança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: 'os rebeldes'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sentiam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-se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menos suficientemente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fortes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para reconstruir o mundo a partir do nada –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foi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o que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fizeram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!"(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Notícias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lugar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nenhum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).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lastRenderedPageBreak/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SOBRE O AUTOR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William Morris 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nasceu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em 24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março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1834 em Essex, Inglaterra.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Foi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poeta, romancista, decorador,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artesão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pintor, </w:t>
                              </w:r>
                              <w:proofErr w:type="spellStart"/>
                              <w:proofErr w:type="gram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arquiteto,designer</w:t>
                              </w:r>
                              <w:proofErr w:type="spellEnd"/>
                              <w:proofErr w:type="gram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 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ativista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político.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Criou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amigos, em 1861, a oficina de artes decorativas 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Trabalhadores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Artistas, que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produzia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artesanalmente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móveis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objetos. Em 1887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participou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fundação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Sociedade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para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Proteção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dos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Edifícios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Antigos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.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década de 1880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tornou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-se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ativo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militante político </w:t>
                              </w:r>
                              <w:proofErr w:type="gram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</w:t>
                              </w:r>
                              <w:proofErr w:type="gram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em 1884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criou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outros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amigos, a Liga Socialista. É no jornal da Liga, 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The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Commonweal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, que 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Notícias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lugar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nenhum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 é publicado pela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primeira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vez, em capítulos, de janeiro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outubro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1890. É autor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vários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outros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livros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traduziu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para 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inglês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 Eneida,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Virgílio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, e 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Odisseia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de Homero.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Morreu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em Hammersmith, Londres, em 3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outubro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1896.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William Morris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foi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dos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expoentes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ingleses das artes e das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ideias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no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século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XIX,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além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militante socialista,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quem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conceituado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historiador E. P.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Thompon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escreveu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formidável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biografia.Em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 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Notícias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lugar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nenhum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romance utópico ambientado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Inglaterra em 2102, ele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descreve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 nova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sociedade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surgida da Grande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Mudança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qual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máquinas "infinitamente superiores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às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passado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"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libertam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os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indivíduos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das tarefas tediosas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desagradáveis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para que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possam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se dedicar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atividade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humana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livre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criadora.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FICHA TÉCNICA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Páginas:296 páginas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Editora: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Expressão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Popular /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Fundação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Perseu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Abramo</w:t>
                              </w:r>
                              <w:proofErr w:type="spellEnd"/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Formato: 14 x 21 cm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1ª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edição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: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julho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2019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ISBN: 978-85-7743-363-6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Coleção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: Literatura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Preço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capa: R$ 35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 - O FUTURO DA RESISTÊNCIA DEMOCRÁTICA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O colapso da democracia no Brasil: da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constituição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golpe de 2016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Luís Felipe Miguel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SINOPSE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Neste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breve </w:t>
                              </w:r>
                              <w:proofErr w:type="gram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</w:t>
                              </w:r>
                              <w:proofErr w:type="gram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esclarecedor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ensaio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interpretação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sobre o Colapso da democracia no Brasil, Luís Felipe Miguel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analisa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processo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do golpe contra a democracia e contra 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povo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brasileiro. Em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contexto de franca ofensiva imperialista por parte dos EUA em busca de retomar o controle político (e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econômico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)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América Latina, as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classes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dominantes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locais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agiram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mais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vez, no sentido de garantir os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interesses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das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classes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dominantes dos países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centrais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do capitalismo. Nele o autor </w:t>
                              </w:r>
                              <w:proofErr w:type="gram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procura</w:t>
                              </w:r>
                              <w:proofErr w:type="gram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responder à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pergunta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: Como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foi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possível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que 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regime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democrático e o sistema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direitos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construídos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no Brasil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longo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mais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duas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décadas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ruíssem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em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curto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prazo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? Para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isso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é de fundamental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importância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compreender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analisar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relações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forças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entre os diferentes grupos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sociais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bem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como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suas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relações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instituições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do país, a saber, a democracia, o poder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judiciário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mídia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entre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outras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.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TRECHO DO LIVRO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"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Diante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deste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cenário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ainda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podemos falar em democracia no Brasil? As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respostas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se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resumem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 'sim'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ou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'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':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formam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gradiente. (...) Em suma: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saímos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democracia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muito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insuficiente para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regime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pior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ainda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. Demos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passos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direção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ditadura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trilhamos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todo 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caminho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. Estamos entrando no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finalzinho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do gradiente, no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lusco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-fusco, entre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democracia que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já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é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ditadura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que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ainda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pode ser. [...]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insanidade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autoritária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corporificada no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governo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Bolsonaro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pressiona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o campo popular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assumir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como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bandeira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prioritária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</w:t>
                              </w:r>
                              <w:proofErr w:type="gram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talvez</w:t>
                              </w:r>
                              <w:proofErr w:type="gram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única, o retorno à democracia que estamos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perdendo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".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SOBRE O AUTOR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LUIS FELIPE MIGUEL (Rio de Janeiro, 1967) é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doutor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em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Ciências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Sociais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pela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Universidade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Estadual de Campinas (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Unicamp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)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professor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titular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livre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do Instituto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Ciência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Política da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Universidade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Brasília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(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UnB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), onde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coordena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o Grupo de Pesquisa sobre Democracia e Desigualdades (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Demodê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). É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pesquisador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Conselho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Nacional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Desenvolvimento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Científico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Tecnológico (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CNPq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). É autor, entre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outros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dos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livros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 Democracia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representação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: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territórios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em disputa (Editora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Unesp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2014), Consenso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conflito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democracia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contemporânea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 (Editora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Unesp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, 2017) e 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Dominação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resistência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: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desafios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para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política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emancipatória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(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Boitempo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, 2018).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FICHA TÉCNICA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Páginas:296 páginas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Editora: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Expressão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Popular /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Fundação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Perseu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Abramo</w:t>
                              </w:r>
                              <w:proofErr w:type="spellEnd"/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Formato: 12 x 18 cm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1ª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edição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: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julho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2019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ISBN: 978-85-7743-362-9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Coleção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: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Emergências</w:t>
                              </w:r>
                              <w:proofErr w:type="spellEnd"/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Preço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capa: R$ 15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 - A CULTURA DO BEM-VIVER E A LUTA PELA MÃE TERRA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Povos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indígenas –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terra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culturas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lutas</w:t>
                              </w:r>
                              <w:proofErr w:type="spellEnd"/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Benedito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Prezia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Beatriz Catarina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Maestri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, Luciana Galante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SINOPSE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O objetivo principal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desta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obra é contribuir para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conhecer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o indígena no Brasil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atual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apenas como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povos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milenares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resistentes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mais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500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anos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opressão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desde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invasão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portuguesa,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como etnias que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neste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momento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enfrentam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violento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retrocesso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político. Para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isto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os autores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desconstroem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 figura genérica do 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índio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tal como é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apresentada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nos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livros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didáticos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apresentam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diversidade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dos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mais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trezentos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povos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ou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etnias, em diferentes ambientes geográficos </w:t>
                              </w:r>
                              <w:proofErr w:type="gram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</w:t>
                              </w:r>
                              <w:proofErr w:type="gram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específicos contextos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sociais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. O foco principal é 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reconhecimento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dos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atuais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traços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culturais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das etnias que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persistem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mesmo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mudanças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dos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traços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físicos </w:t>
                              </w:r>
                              <w:proofErr w:type="gram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</w:t>
                              </w:r>
                              <w:proofErr w:type="gram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do modo de vida, cuja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centralidade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é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terra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lugar onde se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constitui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sua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identidade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social.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Portanto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conhecer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questão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indígena no Brasil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atual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é entender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urgência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demarcação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suas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terras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o modo pelo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qual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as etnias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tem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se organizado, junto à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sociedade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brasileira, para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resistência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política. Os autores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destacam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nesse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processo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o papel da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mulher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do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idoso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da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criança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o universo religioso,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bem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como todos saberes indígenas no sentido do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conhecimento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da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preservação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natureza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.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obra que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contribui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para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formação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nova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geração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que participe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ativamente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construção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sociedade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brasileira plural, formada por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muitos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povos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culturas que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aqui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vivem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há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milhares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anos. 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         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TRECHO DO LIVRO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"Defendemos formas de vidas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plurais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autônomas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inspiradas pelo modelo do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Bem-Viver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Plena, onde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Mãe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Terra é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respeitada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cuidada, onde os seres humanos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representam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apenas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mais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espécie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entre </w:t>
                              </w:r>
                              <w:proofErr w:type="gram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todas as</w:t>
                              </w:r>
                              <w:proofErr w:type="gram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demais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que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compõem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pluridiversidade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do planeta.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Nesse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modelo,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há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espaço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para o chamado capitalismo verde,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nem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para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suas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novas formas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apropriação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nossa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biodiversidade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nossos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conhecimentos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tradicionais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associados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. [...] </w:t>
                              </w:r>
                              <w:proofErr w:type="gram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Reivindicamos 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reconhecimento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demarcação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imediatos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das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terras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indígenas, inclusive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políticas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fortalecimento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das áreas demarcadas,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incluindo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desintrusão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[retirada] dos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fazendeiros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outros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invasores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territórios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!</w:t>
                              </w:r>
                              <w:proofErr w:type="gram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" (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Declaração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Final da Cúpula dos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Povos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por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Justiça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Social, Acampamento Terra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Livre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, Rio de Janeiro, 2012)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SOBRE OS AUTORES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Benedito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Prezia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 é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coordenador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do Programa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Pindorama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formação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jovens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estudantes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indígenas;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atuou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nos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movimentos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populares desde o final dos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anos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1970,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periferia de São Paulo; é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pesquisador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história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indígena, desde 1983,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quando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trabalhou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por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oito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anos no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setor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formação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publicações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do Centro Indigenista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Missionário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(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Cimi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); é graduado em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Filosofia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mestre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em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Linguística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Geral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(USP)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doutor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em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Antropologia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(PUC/SP),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vários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livros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publicados, como 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História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resistência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indígena, 500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anos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luta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(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Expressão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Popular, 2017).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Beatriz Catarina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Maestri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participou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elaboração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deste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livro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até 2013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quando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faleceu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49 anos, em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decorrência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uma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queda.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Participou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da causa indígena desde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jovem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em Santa Catarina,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tendo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pertencido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à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Congregação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das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Irmãs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Catequistas Franciscanas.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Graduou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-se em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História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(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Udesc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)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concluiu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mestrado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em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Antropologia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(UFSC). Nos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anos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1980,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atuou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junto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povos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Kaingang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Xokleng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Guarani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Mbyá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Cafusos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região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José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Boiteux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(SC), em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parceria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Cimi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tornando-se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missionária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Cimi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-Regional Sul. A partir de 2005,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trabalhou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indígenas no contexto urbano de São Paulo (SP).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Luciana Galante 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trabalha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povos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indígenas desde o final dos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anos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1990,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tendo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atuado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área ambiental junto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povos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Kulina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Kanamari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no Amazonas, pela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Operação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Amazônia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Nativa (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Opan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); é graduada em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Biologia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(Mackenzie) 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mestre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em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Antropologia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(PUC/SP). Em São Paulo,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realizou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pesquisas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com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povo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Guarani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Mbyá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área da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etnobotânica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, buscando valorizar 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conhecimento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tradicional, que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resultou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em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sua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dissertação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mestrado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, 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Investigação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etnobotânica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na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comunidade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Guarani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Mbya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Tekoa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Pyau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(2011).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s-UY" w:eastAsia="es-UY"/>
                                </w:rPr>
                                <w:t>FICHA TÉCNICA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Páginas:144 páginas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Outras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Expressões</w:t>
                              </w:r>
                              <w:proofErr w:type="spellEnd"/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Formato: 20 x 27 cm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1ª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edição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: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julho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2019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ISBN: 978-85-9482-038-9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Preço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de capa: R$ 35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proofErr w:type="gram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Link</w:t>
                              </w:r>
                              <w:proofErr w:type="gram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do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site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da </w:t>
                              </w:r>
                              <w:proofErr w:type="spellStart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Expressão</w:t>
                              </w:r>
                              <w:proofErr w:type="spellEnd"/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 xml:space="preserve"> Popular:</w:t>
                              </w:r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hyperlink r:id="rId5" w:tgtFrame="_blank" w:history="1">
                                <w:r w:rsidRPr="00057D8C">
                                  <w:rPr>
                                    <w:rFonts w:ascii="Arial" w:eastAsia="Times New Roman" w:hAnsi="Arial" w:cs="Arial"/>
                                    <w:color w:val="1155CC"/>
                                    <w:sz w:val="21"/>
                                    <w:szCs w:val="21"/>
                                    <w:u w:val="single"/>
                                    <w:lang w:val="es-UY" w:eastAsia="es-UY"/>
                                  </w:rPr>
                                  <w:t>https://www.expressaopopular.com.br/loja/</w:t>
                                </w:r>
                              </w:hyperlink>
                            </w:p>
                            <w:p w:rsidR="00057D8C" w:rsidRPr="00057D8C" w:rsidRDefault="00057D8C" w:rsidP="00057D8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057D8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es-UY" w:eastAsia="es-UY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057D8C" w:rsidRPr="00057D8C" w:rsidRDefault="00057D8C" w:rsidP="00057D8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s-UY" w:eastAsia="es-UY"/>
                          </w:rPr>
                        </w:pPr>
                      </w:p>
                    </w:tc>
                  </w:tr>
                </w:tbl>
                <w:p w:rsidR="00057D8C" w:rsidRPr="00057D8C" w:rsidRDefault="00057D8C" w:rsidP="00057D8C">
                  <w:pPr>
                    <w:spacing w:after="0" w:line="240" w:lineRule="auto"/>
                    <w:jc w:val="center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:rsidR="00057D8C" w:rsidRPr="00057D8C" w:rsidRDefault="00057D8C" w:rsidP="00057D8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s-UY" w:eastAsia="es-UY"/>
              </w:rPr>
            </w:pPr>
          </w:p>
        </w:tc>
      </w:tr>
    </w:tbl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8C"/>
    <w:rsid w:val="00057D8C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19C8"/>
  <w15:chartTrackingRefBased/>
  <w15:docId w15:val="{ACD844A6-889E-4EC2-A6C4-996D2F62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7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D8C"/>
    <w:rPr>
      <w:rFonts w:ascii="Segoe UI" w:hAnsi="Segoe UI" w:cs="Segoe UI"/>
      <w:sz w:val="18"/>
      <w:szCs w:val="18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7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.allin.listasbrasilpopular.org.br/bendar/?atmca=7907513&amp;atmme=8152&amp;atmte=1&amp;atmso=ck&amp;utm_content=246593624&amp;atmem=bWdtYW5vbG9nb2RveUBnbWFpbC5jb20=&amp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1687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2019-08-26T09:45:00Z</dcterms:created>
  <dcterms:modified xsi:type="dcterms:W3CDTF">2019-08-26T09:47:00Z</dcterms:modified>
</cp:coreProperties>
</file>