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47" w:rsidRPr="00903A47" w:rsidRDefault="00903A47" w:rsidP="00903A4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</w:pPr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 xml:space="preserve">“As igrejas </w:t>
      </w:r>
      <w:proofErr w:type="spellStart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>ocidentais</w:t>
      </w:r>
      <w:proofErr w:type="spellEnd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>não</w:t>
      </w:r>
      <w:proofErr w:type="spellEnd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 xml:space="preserve"> </w:t>
      </w:r>
      <w:proofErr w:type="spellStart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>devem</w:t>
      </w:r>
      <w:proofErr w:type="spellEnd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 xml:space="preserve"> apoderar-se do sínodo </w:t>
      </w:r>
      <w:proofErr w:type="spellStart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>amazônico</w:t>
      </w:r>
      <w:proofErr w:type="spellEnd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 xml:space="preserve">”. Entrevista </w:t>
      </w:r>
      <w:proofErr w:type="spellStart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>com</w:t>
      </w:r>
      <w:proofErr w:type="spellEnd"/>
      <w:r w:rsidRPr="00903A4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s-UY" w:eastAsia="es-UY"/>
        </w:rPr>
        <w:t xml:space="preserve"> Andrea Grillo</w:t>
      </w:r>
    </w:p>
    <w:p w:rsidR="00903A47" w:rsidRPr="00903A47" w:rsidRDefault="00903A47" w:rsidP="00903A47">
      <w:pPr>
        <w:pBdr>
          <w:bottom w:val="single" w:sz="6" w:space="15" w:color="CCCCCC"/>
        </w:pBdr>
        <w:shd w:val="clear" w:color="auto" w:fill="EEEEEE"/>
        <w:spacing w:after="30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aps/>
          <w:color w:val="FF0000"/>
          <w:sz w:val="38"/>
          <w:szCs w:val="38"/>
          <w:lang w:val="es-UY" w:eastAsia="es-UY"/>
        </w:rPr>
      </w:pPr>
      <w:r w:rsidRPr="00903A47">
        <w:rPr>
          <w:rFonts w:ascii="Arial" w:eastAsia="Times New Roman" w:hAnsi="Arial" w:cs="Arial"/>
          <w:b/>
          <w:bCs/>
          <w:caps/>
          <w:color w:val="FF0000"/>
          <w:sz w:val="38"/>
          <w:szCs w:val="38"/>
          <w:lang w:val="es-UY" w:eastAsia="es-UY"/>
        </w:rPr>
        <w:t>REVISTA IHU ON-LINE</w:t>
      </w:r>
    </w:p>
    <w:p w:rsidR="00903A47" w:rsidRPr="00903A47" w:rsidRDefault="00903A47" w:rsidP="00903A47">
      <w:pPr>
        <w:spacing w:after="0" w:line="240" w:lineRule="auto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"http://www.ihu.unisinos.br/images/ihu/2019/Eventos/Landing_Sinodo/exortacao-apostolica-pos-sinodal-querida-amazonia-pt.pdf"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exortação</w:t>
      </w:r>
      <w:proofErr w:type="spellEnd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apostólica </w:t>
      </w:r>
      <w:proofErr w:type="spellStart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pós</w:t>
      </w:r>
      <w:proofErr w:type="spellEnd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-sinodal Querida </w:t>
      </w:r>
      <w:proofErr w:type="spellStart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de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Francisco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concluiu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sínodo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simultaneamente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início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envolvimento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igrejas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locais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luz dos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pronunciamentos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sinodais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Discutimos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5" w:tgtFrame="_blank" w:history="1"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Andrea Grillo </w:t>
        </w:r>
      </w:hyperlink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principais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temas de</w:t>
      </w:r>
      <w:hyperlink r:id="rId6" w:tgtFrame="_blank" w:history="1"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 </w:t>
        </w:r>
      </w:hyperlink>
      <w:hyperlink r:id="rId7" w:tgtFrame="_blank" w:history="1"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Querida </w:t>
        </w:r>
        <w:proofErr w:type="spellStart"/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Professor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teologia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sacramentos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Filosofia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Religião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Pontifício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Ateneu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S. Anselmo de Roma e Liturgia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Abadia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Santa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Giustina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Pádua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Grillo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ensinou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professor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convidado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Faculdade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Teológica de Lugano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Pontifícia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Universidade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Gregoriana.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 entrevista é de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Rocco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Gumina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professor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Religião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arquidiocese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Palermo, presidente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associação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cultural "A.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Gasperi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desde 2014 e publica em revistas especializadas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artigos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desenvolvem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temas relacionados à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teologia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espiritualidade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política, publicada por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Tuttavia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01-03-2020.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tradução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de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Luisa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Rabolini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"As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Igrejas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ocidentais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cometer o erro de "apoderar-se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sínodo"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tinha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centro "o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destino,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da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As igrejas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ocidentais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-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incluindo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cúria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romana -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aceitar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tenham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sido, em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Sínodo sobre 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hyperlink r:id="rId8" w:tgtFrame="_blank" w:history="1"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periferia</w:t>
        </w:r>
      </w:hyperlink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reconhecendo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centro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estava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permanece localizado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margens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grande rio,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chama de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Tibre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Sena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Danúbio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Reno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", afirma o teólogo italiano.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Pr="00903A47" w:rsidRDefault="00903A47" w:rsidP="00903A47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val="es-UY" w:eastAsia="es-UY"/>
        </w:rPr>
      </w:pPr>
      <w:proofErr w:type="spellStart"/>
      <w:r w:rsidRPr="00903A47">
        <w:rPr>
          <w:rFonts w:ascii="Arial" w:eastAsia="Times New Roman" w:hAnsi="Arial" w:cs="Arial"/>
          <w:b/>
          <w:bCs/>
          <w:color w:val="FF0000"/>
          <w:sz w:val="27"/>
          <w:szCs w:val="27"/>
          <w:lang w:val="es-UY" w:eastAsia="es-UY"/>
        </w:rPr>
        <w:t>Eis</w:t>
      </w:r>
      <w:proofErr w:type="spellEnd"/>
      <w:r w:rsidRPr="00903A47">
        <w:rPr>
          <w:rFonts w:ascii="Arial" w:eastAsia="Times New Roman" w:hAnsi="Arial" w:cs="Arial"/>
          <w:b/>
          <w:bCs/>
          <w:color w:val="FF0000"/>
          <w:sz w:val="27"/>
          <w:szCs w:val="27"/>
          <w:lang w:val="es-UY" w:eastAsia="es-UY"/>
        </w:rPr>
        <w:t xml:space="preserve"> a entrevista.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Os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instrText xml:space="preserve"> HYPERLINK "http://www.ihu.unisinos.br/596348-amazonia-entre-sonhos-e-medos" \t "_blank" </w:instrText>
      </w:r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F0000"/>
          <w:sz w:val="26"/>
          <w:szCs w:val="26"/>
          <w:u w:val="single"/>
          <w:lang w:val="es-UY" w:eastAsia="es-UY"/>
        </w:rPr>
        <w:t>quatro</w:t>
      </w:r>
      <w:proofErr w:type="spellEnd"/>
      <w:r w:rsidRPr="00903A47">
        <w:rPr>
          <w:rFonts w:ascii="Georgia" w:eastAsia="Times New Roman" w:hAnsi="Georgia" w:cs="Times New Roman"/>
          <w:color w:val="FF0000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FF0000"/>
          <w:sz w:val="26"/>
          <w:szCs w:val="26"/>
          <w:u w:val="single"/>
          <w:lang w:val="es-UY" w:eastAsia="es-UY"/>
        </w:rPr>
        <w:t>sonhos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propostos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pelo Papa Francisco em </w:t>
      </w:r>
      <w:hyperlink r:id="rId9" w:tgtFrame="_blank" w:history="1">
        <w:r w:rsidRPr="00903A47">
          <w:rPr>
            <w:rFonts w:ascii="Georgia" w:eastAsia="Times New Roman" w:hAnsi="Georgia" w:cs="Times New Roman"/>
            <w:color w:val="FF0000"/>
            <w:sz w:val="26"/>
            <w:szCs w:val="26"/>
            <w:u w:val="single"/>
            <w:lang w:val="es-UY" w:eastAsia="es-UY"/>
          </w:rPr>
          <w:t xml:space="preserve">Querida </w:t>
        </w:r>
        <w:proofErr w:type="spellStart"/>
        <w:r w:rsidRPr="00903A47">
          <w:rPr>
            <w:rFonts w:ascii="Georgia" w:eastAsia="Times New Roman" w:hAnsi="Georgia" w:cs="Times New Roman"/>
            <w:color w:val="FF0000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parecem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desapontar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aqueles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esperavam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novidades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sobre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nova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regulamentação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em vista do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acesso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sacramento da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ordem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. No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entanto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, o documento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desenvolve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grande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atenção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algumas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linhas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sobre as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urgências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sociais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culturais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eclesiais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da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região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amazônica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. É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possível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muitos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estudiosos, observadores 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crentes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tenham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entendido mal,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olhos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ocidentais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, as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intenções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do sínodo?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possível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tenha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havido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tal </w:t>
      </w:r>
      <w:proofErr w:type="gram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mal-entendido</w:t>
      </w:r>
      <w:proofErr w:type="gram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observadores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tanto estrábicos,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parcialmente justificados pelo fato de que, pelo menos formalmente,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sabemos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católicos,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exceto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"universal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abstrata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". Parece-nos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Sínodo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mesmo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>quando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declaradamente "especial" como 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recém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-celebrado, 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ato que modifica a disciplina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até mesmo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doutrina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geral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conseguimos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sair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modelo de Igreja unívoco, uniforme e, no fundo, monótono. O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 Francisco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desde a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"http://www.ihu.unisinos.br/images/stories/cadernos/teopublica/104_cadernosteologiapublica.pdf"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Evangelii</w:t>
      </w:r>
      <w:proofErr w:type="spellEnd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Gaudium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vinha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falando,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grande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força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exigência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diferenciação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disciplina, e até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doutrina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em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diferentes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exigências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animam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diferentes continentes.</w:t>
      </w: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Aqui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deparamos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"continente no continente": a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"http://www.ihu.unisinos.br/596666-as-decisoes-do-sinodo-da-amazonia-chegam-a-guiana-francesa"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exatamente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E, como tal,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 exige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profundo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abordagem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pastoral. Os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"http://www.ihu.unisinos.br/596559-querido-francisco-uma-resposta-teologica-aos-sonhos-papais"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sonhos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culturais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ecológicos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respondem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precisamente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imperativo.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Roma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está elaborando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estratégia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poder "diferenciar" 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anúncio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evangelho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deixando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 moldar pela cultura,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sociedade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história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geografia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esquecer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traz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inclusive no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nome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traço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indelével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mitologia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grega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que as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mulheres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guerreiras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surpreendem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conquistadores. Saber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integrar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cultura "diferenciada" é 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verdadeiro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propósito "especial" do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Sínodo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cultura marcada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antigamente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mulheres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guerreiras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autoridade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", 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surpreendente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resposta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medida no plano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admissão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ordem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"http://www.ihu.unisinos.br/593713-schoenborn-os-viri-probati-valorizemos-o-diaconato"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viri</w:t>
      </w:r>
      <w:proofErr w:type="spellEnd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probati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". Em vez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tratar, antes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nada, de "</w:t>
      </w:r>
      <w:proofErr w:type="spellStart"/>
      <w:r w:rsidRPr="00903A4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mulieres</w:t>
      </w:r>
      <w:proofErr w:type="spellEnd"/>
      <w:r w:rsidRPr="00903A4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probatae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 ...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Em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várias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passagens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recordar 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lição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do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Concílio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Vaticano Segundo, o documento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propõe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inculturar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a liturgia entre os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povos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indígenas. </w:t>
      </w:r>
      <w:proofErr w:type="gram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Para que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êxitos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poderia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levar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essa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perspectiva?</w:t>
      </w:r>
      <w:proofErr w:type="gramEnd"/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FF0000"/>
          <w:sz w:val="26"/>
          <w:szCs w:val="26"/>
          <w:lang w:val="es-UY" w:eastAsia="es-UY"/>
        </w:rPr>
      </w:pP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Nesse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ponto, o texto, em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IV capítulo, parece bastante claro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indicar em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hyperlink r:id="rId10" w:tgtFrame="_blank" w:history="1"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rito </w:t>
        </w:r>
        <w:proofErr w:type="spellStart"/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amazônico</w:t>
        </w:r>
        <w:proofErr w:type="spellEnd"/>
      </w:hyperlink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saída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elaboração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Alguém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chegou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falar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instituição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"igreja católica de rito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". Acredito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algumas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coisas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esclarecidas, para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cair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caso no mesmo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vício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abstração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que é típico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tradição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romana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"rito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é fácil,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levarmos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conta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existem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 menos 100 grupos étnicos,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diferentes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tradições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culturas,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rituais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óbvio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rito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amazônico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provavelmente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corre o risco de ser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abstração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romana",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permaneceria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distante da cultura </w:t>
      </w:r>
      <w:proofErr w:type="gram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sobre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completamente extrínseca.</w:t>
      </w: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De fato,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levado em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consideração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liturgia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"elemento exterior"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impingido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sobre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cultura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procede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geram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equívocos,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distorções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acima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duplicações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". Ritos paralelos se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afirmam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obediência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formal a ritos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vazios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máxima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experiência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reservada a ritos paralelos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vezes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clandestinos. Para evitar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desvios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necessário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assumir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cultura ritual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linguagem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primária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liturgia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adaptações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forçar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que é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originariamente indígena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considerado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pagão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No número 94 de Querida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, o Papa Francisco afirma que é urgente desenvolver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cultura eclesial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propriamente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laical.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Na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sua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opinião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, e em termos concretos, que significado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essa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afirmação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pode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assumir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?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FF0000"/>
          <w:sz w:val="26"/>
          <w:szCs w:val="26"/>
          <w:lang w:val="es-UY" w:eastAsia="es-UY"/>
        </w:rPr>
      </w:pP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Como é evidente, </w:t>
      </w:r>
      <w:hyperlink r:id="rId11" w:tgtFrame="_blank" w:history="1"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Querida </w:t>
        </w:r>
        <w:proofErr w:type="spellStart"/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desenvolve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coragem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grande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releitura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"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sacerdócio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batismal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dos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fiéis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para 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entanto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usa apenas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terminologia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"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leigo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".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escolha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talvez se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falar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diretamente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"http://www.ihu.unisinos.br/596478-o-sinodo-defende-os-direitos-dos-povos-da-amazonia-e-da-natureza-afirma-felicio-pontes"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povos</w:t>
      </w:r>
      <w:proofErr w:type="spellEnd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da </w:t>
      </w:r>
      <w:proofErr w:type="spellStart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 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certo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linguagem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tipicamente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europeia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romana,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possui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limites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estruturais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que dificulta bastante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depois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sair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leitura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sacerdócio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do sacramento marcada por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certo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2" w:tgtFrame="_blank" w:history="1"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clericalismo</w:t>
        </w:r>
      </w:hyperlink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por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consideração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parcial do papel ministerial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mulher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certa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consequências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necessárias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"laico".</w:t>
      </w: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Eu acredito que, para entender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verdadeira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intenção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abertura do n. 94,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 tentar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reformulá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-lo em termos de "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sacerdócio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comum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levaria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texto a desenvolver o tema do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"http://www.ihu.unisinos.br/596069-um-sacerdocio-catolico-imunizado-do-sacerdocio-comum-a-reductio-ad-absurdum-de-um-problema-verdadeiro-artigo-de-andrea-grillo"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sacerdócio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do sacramento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menos rígida e a configurar,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significativa,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necessária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ministerialidade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eclesial a ser confiada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mulheres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sentem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vocação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aqui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 tomar cuidado para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prioridades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europeias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romanas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dinâmicas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culturais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rio Amazonas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No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sonho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eclesial, Francisco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pede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às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comunidades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amazônicas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formem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os operadores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pastorais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à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doutrina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social da Igreja.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Por que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, em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sua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opinião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, o papa enfatiza 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importância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fundamental da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dimensão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social dos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Kerygma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em </w:t>
      </w:r>
      <w:proofErr w:type="gram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todas as</w:t>
      </w:r>
      <w:proofErr w:type="gram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oportunidades?</w:t>
      </w:r>
    </w:p>
    <w:p w:rsidR="00903A47" w:rsidRPr="00903A47" w:rsidRDefault="00903A47" w:rsidP="00903A47">
      <w:pPr>
        <w:spacing w:after="0" w:line="240" w:lineRule="auto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dimensão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social do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Kerygma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apenas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"componente" que a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"http://www.ihu.unisinos.br/596160-da-enciclica-laudato-si-ao-sinodo-da-amazonia-artigo-de-mauricio-lopez"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Laudato</w:t>
      </w:r>
      <w:proofErr w:type="spellEnd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si’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descobriu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relevante para todas as igrejas,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ainda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dinâmicas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ecológicas, geográficas e históricas da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caso,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 lembrar que estamos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região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singular em termos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tradições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estruturas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isolamento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homens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mulheres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colocados, a mínima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alteração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ambiente se torna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perda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subsistência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abandono da casa,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migrar,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reconhecimento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dignidade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 </w:t>
      </w:r>
      <w:hyperlink r:id="rId13" w:tgtFrame="_blank" w:history="1"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defesa dos </w:t>
        </w:r>
        <w:proofErr w:type="spellStart"/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direitos</w:t>
        </w:r>
        <w:proofErr w:type="spellEnd"/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e culturas da </w:t>
        </w:r>
        <w:proofErr w:type="spellStart"/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torna-se 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privilegiado do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Evangelho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redescoberta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destino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bens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que a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propicia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generosidade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grandeza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inigualáveis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construção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comunidades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aqui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inevitavelmente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justiça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social e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responsabilidade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ecossistema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estreitamente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conectadas.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Que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lições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as igrejas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ocidentais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podem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tirar do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trabalho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sinodal </w:t>
      </w:r>
      <w:proofErr w:type="gram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e</w:t>
      </w:r>
      <w:proofErr w:type="gram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das teses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finais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 xml:space="preserve"> do sínodo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amazônico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es-UY" w:eastAsia="es-UY"/>
        </w:rPr>
        <w:t>?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necessário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ato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humildade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Se a "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região</w:t>
      </w:r>
      <w:proofErr w:type="spellEnd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pan-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amazônica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estava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centro do sínodo,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hermenêutica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última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documento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deixada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eles. O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 Francisco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clareza: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existem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homens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mulheres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vida,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"http://www.ihu.unisinos.br/596439-o-papa-francisco-quer-convidar-toda-a-igreja-a-se-apaixonar-pela-amazonia-entrevista-com-dom-david-martinez-de-aguirre"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paixão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experiência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conhecem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o papa e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cúria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romana. As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Igrejas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ocidentais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cometer o erro de "apoderar-se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sínodo"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tinha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centro "o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destino,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da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As igrejas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ocidentais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-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incluindo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cúria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romana -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aceitar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tenham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sido, em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Sínodo sobre 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hyperlink r:id="rId14" w:tgtFrame="_blank" w:history="1">
        <w:r w:rsidRPr="00903A4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periferia</w:t>
        </w:r>
      </w:hyperlink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reconhecendo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centro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estava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permanece localizado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margens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grande rio,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chama de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Tibre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Sena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Danúbio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Reno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Em segundo lugar, as igrejas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ocidentais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iludir-se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"colocar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remendo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habitual,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enfrentar o problema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verdadeiro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sério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"http://www.ihu.unisinos.br/78-noticias/594562-o-papa-certo-para-uma-igreja-em-tempos-de-mudanca-de-epoca"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mudança</w:t>
      </w:r>
      <w:proofErr w:type="spellEnd"/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de época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que exige,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Igreja,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paradigma do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"http://www.ihu.unisinos.br/596292-querida-amazonia-e-a-emergencia-de-uma-nova-hermeneutica-no-magisterio-artigo-de-rafael-luciani" \t "_blank" </w:instrTex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903A4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magistério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particular e universal, local e central, absolutamente normativo e relativamente normativo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articulados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nova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liberdade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Igrejas da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terá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ser dada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autoridade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assumir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proofErr w:type="gramStart"/>
      <w:r w:rsidRPr="00903A47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in loco</w:t>
      </w:r>
      <w:proofErr w:type="gram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determinações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diferentes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Roma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será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autolimitação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do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magistério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central,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objetivo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dissolução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arranjo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comunhão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Senhor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serviço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evangelho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No fundo, será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reconhecimento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autoridade</w:t>
      </w:r>
      <w:proofErr w:type="spellEnd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amazônica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através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Roma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exerça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antiga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autoridade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reconhecimento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903A47" w:rsidRPr="00903A47" w:rsidRDefault="00903A47" w:rsidP="00903A4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903A47" w:rsidRPr="00903A47" w:rsidRDefault="00903A47" w:rsidP="00903A47">
      <w:pPr>
        <w:spacing w:after="0" w:line="240" w:lineRule="auto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Nada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revolucionário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senão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ressurgimento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antiga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esquecida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vezes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as verdades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só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ressurgem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 de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sonho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Como </w:t>
      </w:r>
      <w:r w:rsidRPr="00903A4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E. Canetti</w:t>
      </w:r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: "</w:t>
      </w:r>
      <w:proofErr w:type="gram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todas as</w:t>
      </w:r>
      <w:proofErr w:type="gram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coisas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esquecemos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pedem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ajuda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sonhos</w:t>
      </w:r>
      <w:proofErr w:type="spellEnd"/>
      <w:r w:rsidRPr="00903A4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".</w:t>
      </w:r>
    </w:p>
    <w:p w:rsidR="00903A47" w:rsidRDefault="00903A47"/>
    <w:p w:rsidR="002E2F5B" w:rsidRDefault="00903A47">
      <w:r>
        <w:t xml:space="preserve">www. </w:t>
      </w:r>
      <w:bookmarkStart w:id="0" w:name="_GoBack"/>
      <w:bookmarkEnd w:id="0"/>
      <w:r>
        <w:t>i</w:t>
      </w:r>
      <w:r w:rsidRPr="00903A47">
        <w:t>hu.unisinos.br/596733-as-igrejas-ocidentais-nao-devem-apoderar-se-do-sinodo-amazonico-entrevista-com-andrea-grillo</w:t>
      </w:r>
    </w:p>
    <w:p w:rsidR="00903A47" w:rsidRDefault="00903A47"/>
    <w:sectPr w:rsidR="00903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646A"/>
    <w:multiLevelType w:val="multilevel"/>
    <w:tmpl w:val="1DBC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0448A"/>
    <w:multiLevelType w:val="multilevel"/>
    <w:tmpl w:val="2FB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73501"/>
    <w:multiLevelType w:val="multilevel"/>
    <w:tmpl w:val="31F4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47"/>
    <w:rsid w:val="002E2F5B"/>
    <w:rsid w:val="00903A47"/>
    <w:rsid w:val="00E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97FA"/>
  <w15:chartTrackingRefBased/>
  <w15:docId w15:val="{2CC4E4F4-1FC7-4447-9137-F35CFD82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9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5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2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75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6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9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596515-querida-amazonia-e-um-chamado-a-cuidar-dos-marginalizados-e-descartaveis-que-vivem-na-periferia-entrevista-com-o-cardeal-pedro-barreto-sj" TargetMode="External"/><Relationship Id="rId13" Type="http://schemas.openxmlformats.org/officeDocument/2006/relationships/hyperlink" Target="http://www.ihu.unisinos.br/594192-o-sinodo-e-os-direitos-dos-povos-da-amazo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hu.unisinos.br/596640-o-sacerdote-em-qa-um-passo-em-falso" TargetMode="External"/><Relationship Id="rId12" Type="http://schemas.openxmlformats.org/officeDocument/2006/relationships/hyperlink" Target="http://www.ihu.unisinos.br/596397-o-mais-perigoso-para-a-igreja-e-a-ameaca-de-um-cisma-ou-a-pressao-do-clericalismo-integrista-artigo-de-jose-maria-castill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hu.unisinos.br/596366-querida-amazonia-o-sinodo-e-a-natureza-da-doutrina-artigo-de-andrea-grillo" TargetMode="External"/><Relationship Id="rId11" Type="http://schemas.openxmlformats.org/officeDocument/2006/relationships/hyperlink" Target="http://www.ihu.unisinos.br/596585-querida-amazonia-sonhos-profeticos-e-forte-denuncia" TargetMode="External"/><Relationship Id="rId5" Type="http://schemas.openxmlformats.org/officeDocument/2006/relationships/hyperlink" Target="http://www.ihu.unisinos.br/596366-querida-amazonia-o-sinodo-e-a-natureza-da-doutrina-artigo-de-andrea-grill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hu.unisinos.br/593785-proposta-de-rito-amazonico-esta-centrado-em-cristo-afirma-professor-indig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hu.unisinos.br/596646-a-exortacao-querida-amazonia-nao-barrou-a-proposta-de-ordenar-homens-casados-so-mudou-a-porta" TargetMode="External"/><Relationship Id="rId14" Type="http://schemas.openxmlformats.org/officeDocument/2006/relationships/hyperlink" Target="http://www.ihu.unisinos.br/596515-querida-amazonia-e-um-chamado-a-cuidar-dos-marginalizados-e-descartaveis-que-vivem-na-periferia-entrevista-com-o-cardeal-pedro-barreto-s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1960</Words>
  <Characters>10782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“As igrejas ocidentais não devem apoderar-se do sínodo amazônico”. Entrevista co</vt:lpstr>
      <vt:lpstr>    REVISTA IHU ON-LINE</vt:lpstr>
      <vt:lpstr>        Eis a entrevista.</vt:lpstr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2020-03-04T13:04:00Z</dcterms:created>
  <dcterms:modified xsi:type="dcterms:W3CDTF">2020-03-04T13:04:00Z</dcterms:modified>
</cp:coreProperties>
</file>