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0AB" w:rsidRPr="000740AB" w:rsidRDefault="000740AB" w:rsidP="000740AB">
      <w:pPr>
        <w:spacing w:after="90" w:line="351" w:lineRule="atLeast"/>
        <w:textAlignment w:val="baseline"/>
        <w:outlineLvl w:val="0"/>
        <w:rPr>
          <w:rFonts w:ascii="Arial" w:eastAsia="Times New Roman" w:hAnsi="Arial" w:cs="Arial"/>
          <w:b/>
          <w:bCs/>
          <w:color w:val="4D5C7D"/>
          <w:kern w:val="36"/>
          <w:sz w:val="27"/>
          <w:szCs w:val="27"/>
          <w:lang w:val="es-UY" w:eastAsia="es-UY"/>
        </w:rPr>
      </w:pPr>
      <w:r w:rsidRPr="000740AB">
        <w:rPr>
          <w:rFonts w:ascii="Arial" w:eastAsia="Times New Roman" w:hAnsi="Arial" w:cs="Arial"/>
          <w:b/>
          <w:bCs/>
          <w:color w:val="4D5C7D"/>
          <w:kern w:val="36"/>
          <w:sz w:val="27"/>
          <w:szCs w:val="27"/>
          <w:lang w:val="es-UY" w:eastAsia="es-UY"/>
        </w:rPr>
        <w:t>COVID-19: el comienzo del efecto dominó</w:t>
      </w:r>
    </w:p>
    <w:p w:rsidR="000740AB" w:rsidRPr="000740AB" w:rsidRDefault="000740AB" w:rsidP="000740AB">
      <w:pPr>
        <w:spacing w:after="0" w:line="312" w:lineRule="atLeast"/>
        <w:textAlignment w:val="baseline"/>
        <w:rPr>
          <w:rFonts w:ascii="Arial" w:eastAsia="Times New Roman" w:hAnsi="Arial" w:cs="Arial"/>
          <w:color w:val="000000"/>
          <w:sz w:val="18"/>
          <w:szCs w:val="18"/>
          <w:lang w:val="es-UY" w:eastAsia="es-UY"/>
        </w:rPr>
      </w:pPr>
      <w:hyperlink r:id="rId4" w:history="1">
        <w:r w:rsidRPr="000740AB">
          <w:rPr>
            <w:rFonts w:ascii="Arial" w:eastAsia="Times New Roman" w:hAnsi="Arial" w:cs="Arial"/>
            <w:i/>
            <w:iCs/>
            <w:color w:val="DE0000"/>
            <w:sz w:val="20"/>
            <w:szCs w:val="20"/>
            <w:u w:val="single"/>
            <w:lang w:val="es-UY" w:eastAsia="es-UY"/>
          </w:rPr>
          <w:t>Oscar Ugarteche</w:t>
        </w:r>
      </w:hyperlink>
      <w:r w:rsidRPr="000740AB">
        <w:rPr>
          <w:rFonts w:ascii="Arial" w:eastAsia="Times New Roman" w:hAnsi="Arial" w:cs="Arial"/>
          <w:color w:val="000000"/>
          <w:sz w:val="18"/>
          <w:szCs w:val="18"/>
          <w:lang w:val="es-UY" w:eastAsia="es-UY"/>
        </w:rPr>
        <w:t>, </w:t>
      </w:r>
      <w:hyperlink r:id="rId5" w:history="1">
        <w:r w:rsidRPr="000740AB">
          <w:rPr>
            <w:rFonts w:ascii="Arial" w:eastAsia="Times New Roman" w:hAnsi="Arial" w:cs="Arial"/>
            <w:i/>
            <w:iCs/>
            <w:color w:val="DE0000"/>
            <w:sz w:val="20"/>
            <w:szCs w:val="20"/>
            <w:u w:val="single"/>
            <w:lang w:val="es-UY" w:eastAsia="es-UY"/>
          </w:rPr>
          <w:t>Alfredo Ocampo</w:t>
        </w:r>
      </w:hyperlink>
    </w:p>
    <w:p w:rsidR="000740AB" w:rsidRPr="000740AB" w:rsidRDefault="000740AB" w:rsidP="000740AB">
      <w:pPr>
        <w:spacing w:after="0" w:line="312" w:lineRule="atLeast"/>
        <w:textAlignment w:val="baseline"/>
        <w:rPr>
          <w:rFonts w:ascii="Arial" w:eastAsia="Times New Roman" w:hAnsi="Arial" w:cs="Arial"/>
          <w:color w:val="000000"/>
          <w:sz w:val="18"/>
          <w:szCs w:val="18"/>
          <w:lang w:val="es-UY" w:eastAsia="es-UY"/>
        </w:rPr>
      </w:pPr>
      <w:r w:rsidRPr="000740AB">
        <w:rPr>
          <w:rFonts w:ascii="Arial" w:eastAsia="Times New Roman" w:hAnsi="Arial" w:cs="Arial"/>
          <w:color w:val="000000"/>
          <w:sz w:val="18"/>
          <w:szCs w:val="18"/>
          <w:lang w:val="es-UY" w:eastAsia="es-UY"/>
        </w:rPr>
        <w:t>14/04/2020</w:t>
      </w:r>
    </w:p>
    <w:p w:rsidR="000740AB" w:rsidRPr="000740AB" w:rsidRDefault="000740AB" w:rsidP="000740AB">
      <w:pPr>
        <w:spacing w:after="0" w:line="312" w:lineRule="atLeast"/>
        <w:jc w:val="center"/>
        <w:textAlignment w:val="baseline"/>
        <w:rPr>
          <w:rFonts w:ascii="Arial" w:eastAsia="Times New Roman" w:hAnsi="Arial" w:cs="Arial"/>
          <w:color w:val="000000"/>
          <w:sz w:val="18"/>
          <w:szCs w:val="18"/>
          <w:lang w:val="es-UY" w:eastAsia="es-UY"/>
        </w:rPr>
      </w:pPr>
      <w:r w:rsidRPr="000740AB">
        <w:rPr>
          <w:rFonts w:ascii="Arial" w:eastAsia="Times New Roman" w:hAnsi="Arial" w:cs="Arial"/>
          <w:noProof/>
          <w:color w:val="000000"/>
          <w:sz w:val="18"/>
          <w:szCs w:val="18"/>
          <w:lang w:val="es-UY" w:eastAsia="es-UY"/>
        </w:rPr>
        <w:drawing>
          <wp:inline distT="0" distB="0" distL="0" distR="0" wp14:anchorId="0ED256C2" wp14:editId="102453D4">
            <wp:extent cx="4762500" cy="3181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3181350"/>
                    </a:xfrm>
                    <a:prstGeom prst="rect">
                      <a:avLst/>
                    </a:prstGeom>
                    <a:noFill/>
                    <a:ln>
                      <a:noFill/>
                    </a:ln>
                  </pic:spPr>
                </pic:pic>
              </a:graphicData>
            </a:graphic>
          </wp:inline>
        </w:drawing>
      </w:r>
    </w:p>
    <w:p w:rsidR="000740AB" w:rsidRPr="000740AB" w:rsidRDefault="000740AB" w:rsidP="000740AB">
      <w:pPr>
        <w:spacing w:after="0" w:line="312" w:lineRule="atLeast"/>
        <w:jc w:val="center"/>
        <w:textAlignment w:val="baseline"/>
        <w:rPr>
          <w:rFonts w:ascii="Guardian Text Sans Web" w:eastAsia="Times New Roman" w:hAnsi="Guardian Text Sans Web" w:cs="Arial"/>
          <w:color w:val="000000"/>
          <w:sz w:val="20"/>
          <w:szCs w:val="20"/>
          <w:lang w:val="es-UY" w:eastAsia="es-UY"/>
        </w:rPr>
      </w:pPr>
      <w:r w:rsidRPr="000740AB">
        <w:rPr>
          <w:rFonts w:ascii="Guardian Text Sans Web" w:eastAsia="Times New Roman" w:hAnsi="Guardian Text Sans Web" w:cs="Arial"/>
          <w:color w:val="000000"/>
          <w:sz w:val="20"/>
          <w:szCs w:val="20"/>
          <w:lang w:val="es-UY" w:eastAsia="es-UY"/>
        </w:rPr>
        <w:t xml:space="preserve">Imagen: </w:t>
      </w:r>
      <w:proofErr w:type="spellStart"/>
      <w:r w:rsidRPr="000740AB">
        <w:rPr>
          <w:rFonts w:ascii="Guardian Text Sans Web" w:eastAsia="Times New Roman" w:hAnsi="Guardian Text Sans Web" w:cs="Arial"/>
          <w:color w:val="000000"/>
          <w:sz w:val="20"/>
          <w:szCs w:val="20"/>
          <w:lang w:val="es-UY" w:eastAsia="es-UY"/>
        </w:rPr>
        <w:t>mindandi</w:t>
      </w:r>
      <w:proofErr w:type="spellEnd"/>
      <w:r w:rsidRPr="000740AB">
        <w:rPr>
          <w:rFonts w:ascii="Guardian Text Sans Web" w:eastAsia="Times New Roman" w:hAnsi="Guardian Text Sans Web" w:cs="Arial"/>
          <w:color w:val="000000"/>
          <w:sz w:val="20"/>
          <w:szCs w:val="20"/>
          <w:lang w:val="es-UY" w:eastAsia="es-UY"/>
        </w:rPr>
        <w:t xml:space="preserve"> (</w:t>
      </w:r>
      <w:proofErr w:type="spellStart"/>
      <w:r w:rsidRPr="000740AB">
        <w:rPr>
          <w:rFonts w:ascii="Guardian Text Sans Web" w:eastAsia="Times New Roman" w:hAnsi="Guardian Text Sans Web" w:cs="Arial"/>
          <w:color w:val="000000"/>
          <w:sz w:val="20"/>
          <w:szCs w:val="20"/>
          <w:lang w:val="es-UY" w:eastAsia="es-UY"/>
        </w:rPr>
        <w:t>Freepix</w:t>
      </w:r>
      <w:proofErr w:type="spellEnd"/>
      <w:r w:rsidRPr="000740AB">
        <w:rPr>
          <w:rFonts w:ascii="Guardian Text Sans Web" w:eastAsia="Times New Roman" w:hAnsi="Guardian Text Sans Web" w:cs="Arial"/>
          <w:color w:val="000000"/>
          <w:sz w:val="20"/>
          <w:szCs w:val="20"/>
          <w:lang w:val="es-UY" w:eastAsia="es-UY"/>
        </w:rPr>
        <w:t>)</w:t>
      </w:r>
    </w:p>
    <w:p w:rsidR="000740AB" w:rsidRPr="000740AB" w:rsidRDefault="000740AB" w:rsidP="000740AB">
      <w:pPr>
        <w:spacing w:after="0" w:line="312" w:lineRule="atLeast"/>
        <w:jc w:val="both"/>
        <w:textAlignment w:val="baseline"/>
        <w:rPr>
          <w:rFonts w:ascii="Arial" w:eastAsia="Times New Roman" w:hAnsi="Arial" w:cs="Arial"/>
          <w:color w:val="000000"/>
          <w:sz w:val="24"/>
          <w:szCs w:val="24"/>
          <w:lang w:val="es-UY" w:eastAsia="es-UY"/>
        </w:rPr>
      </w:pPr>
      <w:r w:rsidRPr="000740AB">
        <w:rPr>
          <w:rFonts w:ascii="Arial" w:eastAsia="Times New Roman" w:hAnsi="Arial" w:cs="Arial"/>
          <w:color w:val="000000"/>
          <w:sz w:val="24"/>
          <w:szCs w:val="24"/>
          <w:lang w:val="es-UY" w:eastAsia="es-UY"/>
        </w:rPr>
        <w:t>Los efectos del COVID-19 en la economía real se comienzan a materializar alrededor del mundo. Ya en la</w:t>
      </w:r>
      <w:r w:rsidRPr="000740AB">
        <w:rPr>
          <w:rFonts w:ascii="Arial" w:eastAsia="Times New Roman" w:hAnsi="Arial" w:cs="Arial"/>
          <w:color w:val="000000"/>
          <w:sz w:val="18"/>
          <w:szCs w:val="18"/>
          <w:lang w:val="es-UY" w:eastAsia="es-UY"/>
        </w:rPr>
        <w:t xml:space="preserve"> </w:t>
      </w:r>
      <w:r w:rsidRPr="000740AB">
        <w:rPr>
          <w:rFonts w:ascii="Arial" w:eastAsia="Times New Roman" w:hAnsi="Arial" w:cs="Arial"/>
          <w:color w:val="000000"/>
          <w:sz w:val="24"/>
          <w:szCs w:val="24"/>
          <w:lang w:val="es-UY" w:eastAsia="es-UY"/>
        </w:rPr>
        <w:t xml:space="preserve">segunda mitad de marzo se dieron los primero síntomas del deterioro de la confianza e incertidumbre en la economía cuando en el sector financiero los índices de bolsa de los principales países cayeron a mínimos durante el año. En esta nota se presentan indicadores tanto en el sector laboral como en la industria y servicios en </w:t>
      </w:r>
      <w:proofErr w:type="gramStart"/>
      <w:r w:rsidRPr="000740AB">
        <w:rPr>
          <w:rFonts w:ascii="Arial" w:eastAsia="Times New Roman" w:hAnsi="Arial" w:cs="Arial"/>
          <w:color w:val="000000"/>
          <w:sz w:val="24"/>
          <w:szCs w:val="24"/>
          <w:lang w:val="es-UY" w:eastAsia="es-UY"/>
        </w:rPr>
        <w:t>EEUU</w:t>
      </w:r>
      <w:proofErr w:type="gramEnd"/>
      <w:r w:rsidRPr="000740AB">
        <w:rPr>
          <w:rFonts w:ascii="Arial" w:eastAsia="Times New Roman" w:hAnsi="Arial" w:cs="Arial"/>
          <w:color w:val="000000"/>
          <w:sz w:val="24"/>
          <w:szCs w:val="24"/>
          <w:lang w:val="es-UY" w:eastAsia="es-UY"/>
        </w:rPr>
        <w:t xml:space="preserve"> y algunas de las economías del G20 para los cuales hay datos disponibles. La situación que inevitablemente se verá para la mayoría de los países en el mundo será: caída del producto, desempleo a pesar de los esfuerzos de las autoridades económicas. Esta vez con un impacto generalizado para todos los países, sectores y con un riesgo directo para el ser humano.</w:t>
      </w:r>
    </w:p>
    <w:p w:rsidR="000740AB" w:rsidRPr="000740AB" w:rsidRDefault="000740AB" w:rsidP="000740AB">
      <w:pPr>
        <w:spacing w:after="0" w:line="312" w:lineRule="atLeast"/>
        <w:textAlignment w:val="baseline"/>
        <w:rPr>
          <w:rFonts w:ascii="Arial" w:eastAsia="Times New Roman" w:hAnsi="Arial" w:cs="Arial"/>
          <w:color w:val="000000"/>
          <w:sz w:val="18"/>
          <w:szCs w:val="18"/>
          <w:lang w:val="es-UY" w:eastAsia="es-UY"/>
        </w:rPr>
      </w:pPr>
      <w:r w:rsidRPr="000740AB">
        <w:rPr>
          <w:noProof/>
        </w:rPr>
        <w:drawing>
          <wp:anchor distT="0" distB="0" distL="114300" distR="114300" simplePos="0" relativeHeight="251658240" behindDoc="1" locked="0" layoutInCell="1" allowOverlap="1" wp14:anchorId="36571616">
            <wp:simplePos x="0" y="0"/>
            <wp:positionH relativeFrom="column">
              <wp:posOffset>-635</wp:posOffset>
            </wp:positionH>
            <wp:positionV relativeFrom="paragraph">
              <wp:posOffset>199390</wp:posOffset>
            </wp:positionV>
            <wp:extent cx="3054350" cy="2290445"/>
            <wp:effectExtent l="0" t="0" r="0" b="0"/>
            <wp:wrapTight wrapText="bothSides">
              <wp:wrapPolygon edited="0">
                <wp:start x="0" y="0"/>
                <wp:lineTo x="0" y="21378"/>
                <wp:lineTo x="21420" y="21378"/>
                <wp:lineTo x="21420" y="0"/>
                <wp:lineTo x="0" y="0"/>
              </wp:wrapPolygon>
            </wp:wrapTight>
            <wp:docPr id="2" name="Imagen 2" descr="C:\Users\Néstor Da Costa\AppData\Local\Microsoft\Windows\INetCache\Content.MSO\6E6FE80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éstor Da Costa\AppData\Local\Microsoft\Windows\INetCache\Content.MSO\6E6FE80D.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4350" cy="2290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40AB">
        <w:rPr>
          <w:rFonts w:ascii="Arial" w:eastAsia="Times New Roman" w:hAnsi="Arial" w:cs="Arial"/>
          <w:color w:val="000000"/>
          <w:sz w:val="18"/>
          <w:szCs w:val="18"/>
          <w:lang w:val="es-UY" w:eastAsia="es-UY"/>
        </w:rPr>
        <w:t> </w:t>
      </w:r>
    </w:p>
    <w:p w:rsidR="000740AB" w:rsidRPr="000740AB" w:rsidRDefault="000740AB" w:rsidP="000740AB">
      <w:pPr>
        <w:spacing w:after="0" w:line="312" w:lineRule="atLeast"/>
        <w:jc w:val="both"/>
        <w:textAlignment w:val="baseline"/>
        <w:rPr>
          <w:rFonts w:ascii="Arial" w:eastAsia="Times New Roman" w:hAnsi="Arial" w:cs="Arial"/>
          <w:color w:val="000000"/>
          <w:sz w:val="24"/>
          <w:szCs w:val="24"/>
          <w:lang w:val="es-UY" w:eastAsia="es-UY"/>
        </w:rPr>
      </w:pPr>
      <w:r w:rsidRPr="000740AB">
        <w:rPr>
          <w:rFonts w:ascii="Arial" w:eastAsia="Times New Roman" w:hAnsi="Arial" w:cs="Arial"/>
          <w:color w:val="000000"/>
          <w:sz w:val="24"/>
          <w:szCs w:val="24"/>
          <w:lang w:val="es-UY" w:eastAsia="es-UY"/>
        </w:rPr>
        <w:t xml:space="preserve">En </w:t>
      </w:r>
      <w:proofErr w:type="gramStart"/>
      <w:r w:rsidRPr="000740AB">
        <w:rPr>
          <w:rFonts w:ascii="Arial" w:eastAsia="Times New Roman" w:hAnsi="Arial" w:cs="Arial"/>
          <w:color w:val="000000"/>
          <w:sz w:val="24"/>
          <w:szCs w:val="24"/>
          <w:lang w:val="es-UY" w:eastAsia="es-UY"/>
        </w:rPr>
        <w:t>EEUU</w:t>
      </w:r>
      <w:proofErr w:type="gramEnd"/>
      <w:r w:rsidRPr="000740AB">
        <w:rPr>
          <w:rFonts w:ascii="Arial" w:eastAsia="Times New Roman" w:hAnsi="Arial" w:cs="Arial"/>
          <w:color w:val="000000"/>
          <w:sz w:val="24"/>
          <w:szCs w:val="24"/>
          <w:lang w:val="es-UY" w:eastAsia="es-UY"/>
        </w:rPr>
        <w:t xml:space="preserve"> el indicador de las Solicitudes Nuevas de Seguro por Desempleo (SND) que proporciona el Departamento del Trabajo del EEUU con una periodicidad semanal nos deja ver las consecuencias en su economía por el paro de actividades para tratar de contener los efectos del COVID-19. En la siguiente gráfica se muestran los datos para lo que va </w:t>
      </w:r>
      <w:r w:rsidRPr="000740AB">
        <w:rPr>
          <w:rFonts w:ascii="Arial" w:eastAsia="Times New Roman" w:hAnsi="Arial" w:cs="Arial"/>
          <w:color w:val="000000"/>
          <w:sz w:val="24"/>
          <w:szCs w:val="24"/>
          <w:lang w:val="es-UY" w:eastAsia="es-UY"/>
        </w:rPr>
        <w:lastRenderedPageBreak/>
        <w:t xml:space="preserve">del año. Desde la segunda semana de marzo hubo un incremento en las </w:t>
      </w:r>
      <w:proofErr w:type="gramStart"/>
      <w:r w:rsidRPr="000740AB">
        <w:rPr>
          <w:rFonts w:ascii="Arial" w:eastAsia="Times New Roman" w:hAnsi="Arial" w:cs="Arial"/>
          <w:color w:val="000000"/>
          <w:sz w:val="24"/>
          <w:szCs w:val="24"/>
          <w:lang w:val="es-UY" w:eastAsia="es-UY"/>
        </w:rPr>
        <w:t>SND</w:t>
      </w:r>
      <w:proofErr w:type="gramEnd"/>
      <w:r w:rsidRPr="000740AB">
        <w:rPr>
          <w:rFonts w:ascii="Arial" w:eastAsia="Times New Roman" w:hAnsi="Arial" w:cs="Arial"/>
          <w:color w:val="000000"/>
          <w:sz w:val="24"/>
          <w:szCs w:val="24"/>
          <w:lang w:val="es-UY" w:eastAsia="es-UY"/>
        </w:rPr>
        <w:t xml:space="preserve"> aunque no estaba lejos de la media del año de 218,000. Fue hasta la tercera semana de marzo que hubo un salto en las SND a 3,307,000; en la cuarta semana 6,867,000 y el último dato disponible fue de 6,606,000</w:t>
      </w:r>
      <w:bookmarkStart w:id="0" w:name="_ftnref1"/>
      <w:r w:rsidRPr="000740AB">
        <w:rPr>
          <w:rFonts w:ascii="Arial" w:eastAsia="Times New Roman" w:hAnsi="Arial" w:cs="Arial"/>
          <w:color w:val="000000"/>
          <w:sz w:val="24"/>
          <w:szCs w:val="24"/>
          <w:lang w:val="es-UY" w:eastAsia="es-UY"/>
        </w:rPr>
        <w:fldChar w:fldCharType="begin"/>
      </w:r>
      <w:r w:rsidRPr="000740AB">
        <w:rPr>
          <w:rFonts w:ascii="Arial" w:eastAsia="Times New Roman" w:hAnsi="Arial" w:cs="Arial"/>
          <w:color w:val="000000"/>
          <w:sz w:val="24"/>
          <w:szCs w:val="24"/>
          <w:lang w:val="es-UY" w:eastAsia="es-UY"/>
        </w:rPr>
        <w:instrText xml:space="preserve"> HYPERLINK "https://www.alainet.org/es/articulo/205882?utm_source=email&amp;utm_campaign=alai-amlatina" \l "_ftn1" \o "" </w:instrText>
      </w:r>
      <w:r w:rsidRPr="000740AB">
        <w:rPr>
          <w:rFonts w:ascii="Arial" w:eastAsia="Times New Roman" w:hAnsi="Arial" w:cs="Arial"/>
          <w:color w:val="000000"/>
          <w:sz w:val="24"/>
          <w:szCs w:val="24"/>
          <w:lang w:val="es-UY" w:eastAsia="es-UY"/>
        </w:rPr>
        <w:fldChar w:fldCharType="separate"/>
      </w:r>
      <w:r w:rsidRPr="000740AB">
        <w:rPr>
          <w:rFonts w:ascii="Arial" w:eastAsia="Times New Roman" w:hAnsi="Arial" w:cs="Arial"/>
          <w:color w:val="A52A2A"/>
          <w:sz w:val="24"/>
          <w:szCs w:val="24"/>
          <w:u w:val="single"/>
          <w:lang w:val="es-UY" w:eastAsia="es-UY"/>
        </w:rPr>
        <w:t>[1]</w:t>
      </w:r>
      <w:r w:rsidRPr="000740AB">
        <w:rPr>
          <w:rFonts w:ascii="Arial" w:eastAsia="Times New Roman" w:hAnsi="Arial" w:cs="Arial"/>
          <w:color w:val="000000"/>
          <w:sz w:val="24"/>
          <w:szCs w:val="24"/>
          <w:lang w:val="es-UY" w:eastAsia="es-UY"/>
        </w:rPr>
        <w:fldChar w:fldCharType="end"/>
      </w:r>
      <w:bookmarkEnd w:id="0"/>
      <w:r w:rsidRPr="000740AB">
        <w:rPr>
          <w:rFonts w:ascii="Arial" w:eastAsia="Times New Roman" w:hAnsi="Arial" w:cs="Arial"/>
          <w:color w:val="000000"/>
          <w:sz w:val="24"/>
          <w:szCs w:val="24"/>
          <w:lang w:val="es-UY" w:eastAsia="es-UY"/>
        </w:rPr>
        <w:t xml:space="preserve">. En las últimas 4 semanas las SND suman 17 millones, de ese tamaño es el impacto inicial en el mercado laboral y el número de personas que han quedado desempleadas. Los principales estados que solicitan un seguro por desempleo son: California, Nueva York, Michigan, Florida y Georgia, los cuales están entre los que más casos confirmados de contagio hay en </w:t>
      </w:r>
      <w:proofErr w:type="gramStart"/>
      <w:r w:rsidRPr="000740AB">
        <w:rPr>
          <w:rFonts w:ascii="Arial" w:eastAsia="Times New Roman" w:hAnsi="Arial" w:cs="Arial"/>
          <w:color w:val="000000"/>
          <w:sz w:val="24"/>
          <w:szCs w:val="24"/>
          <w:lang w:val="es-UY" w:eastAsia="es-UY"/>
        </w:rPr>
        <w:t>EEUU</w:t>
      </w:r>
      <w:proofErr w:type="gramEnd"/>
      <w:r w:rsidRPr="000740AB">
        <w:rPr>
          <w:rFonts w:ascii="Arial" w:eastAsia="Times New Roman" w:hAnsi="Arial" w:cs="Arial"/>
          <w:color w:val="000000"/>
          <w:sz w:val="24"/>
          <w:szCs w:val="24"/>
          <w:lang w:val="es-UY" w:eastAsia="es-UY"/>
        </w:rPr>
        <w:t>.</w:t>
      </w:r>
    </w:p>
    <w:p w:rsidR="000740AB" w:rsidRPr="000740AB" w:rsidRDefault="000740AB" w:rsidP="000740AB">
      <w:pPr>
        <w:spacing w:after="0" w:line="312" w:lineRule="atLeast"/>
        <w:jc w:val="both"/>
        <w:textAlignment w:val="baseline"/>
        <w:rPr>
          <w:rFonts w:ascii="Arial" w:eastAsia="Times New Roman" w:hAnsi="Arial" w:cs="Arial"/>
          <w:color w:val="000000"/>
          <w:sz w:val="24"/>
          <w:szCs w:val="24"/>
          <w:lang w:val="es-UY" w:eastAsia="es-UY"/>
        </w:rPr>
      </w:pPr>
      <w:r w:rsidRPr="000740AB">
        <w:rPr>
          <w:rFonts w:ascii="Arial" w:eastAsia="Times New Roman" w:hAnsi="Arial" w:cs="Arial"/>
          <w:color w:val="000000"/>
          <w:sz w:val="24"/>
          <w:szCs w:val="24"/>
          <w:lang w:val="es-UY" w:eastAsia="es-UY"/>
        </w:rPr>
        <w:t> </w:t>
      </w:r>
    </w:p>
    <w:p w:rsidR="000740AB" w:rsidRPr="000740AB" w:rsidRDefault="000740AB" w:rsidP="000740AB">
      <w:pPr>
        <w:spacing w:after="0" w:line="312" w:lineRule="atLeast"/>
        <w:jc w:val="both"/>
        <w:textAlignment w:val="baseline"/>
        <w:rPr>
          <w:rFonts w:ascii="Arial" w:eastAsia="Times New Roman" w:hAnsi="Arial" w:cs="Arial"/>
          <w:color w:val="000000"/>
          <w:sz w:val="24"/>
          <w:szCs w:val="24"/>
          <w:lang w:val="es-UY" w:eastAsia="es-UY"/>
        </w:rPr>
      </w:pPr>
      <w:r w:rsidRPr="000740AB">
        <w:rPr>
          <w:rFonts w:ascii="Arial" w:eastAsia="Times New Roman" w:hAnsi="Arial" w:cs="Arial"/>
          <w:color w:val="000000"/>
          <w:sz w:val="24"/>
          <w:szCs w:val="24"/>
          <w:lang w:val="es-UY" w:eastAsia="es-UY"/>
        </w:rPr>
        <w:t>El 3 de abril la Oficina de Estadísticas Laborales (BLS por sus siglas en inglés) publicó el informe de la situación laboral</w:t>
      </w:r>
      <w:bookmarkStart w:id="1" w:name="_ftnref2"/>
      <w:r w:rsidRPr="000740AB">
        <w:rPr>
          <w:rFonts w:ascii="Arial" w:eastAsia="Times New Roman" w:hAnsi="Arial" w:cs="Arial"/>
          <w:color w:val="000000"/>
          <w:sz w:val="24"/>
          <w:szCs w:val="24"/>
          <w:lang w:val="es-UY" w:eastAsia="es-UY"/>
        </w:rPr>
        <w:fldChar w:fldCharType="begin"/>
      </w:r>
      <w:r w:rsidRPr="000740AB">
        <w:rPr>
          <w:rFonts w:ascii="Arial" w:eastAsia="Times New Roman" w:hAnsi="Arial" w:cs="Arial"/>
          <w:color w:val="000000"/>
          <w:sz w:val="24"/>
          <w:szCs w:val="24"/>
          <w:lang w:val="es-UY" w:eastAsia="es-UY"/>
        </w:rPr>
        <w:instrText xml:space="preserve"> HYPERLINK "https://www.alainet.org/es/articulo/205882?utm_source=email&amp;utm_campaign=alai-amlatina" \l "_ftn2" \o "" </w:instrText>
      </w:r>
      <w:r w:rsidRPr="000740AB">
        <w:rPr>
          <w:rFonts w:ascii="Arial" w:eastAsia="Times New Roman" w:hAnsi="Arial" w:cs="Arial"/>
          <w:color w:val="000000"/>
          <w:sz w:val="24"/>
          <w:szCs w:val="24"/>
          <w:lang w:val="es-UY" w:eastAsia="es-UY"/>
        </w:rPr>
        <w:fldChar w:fldCharType="separate"/>
      </w:r>
      <w:r w:rsidRPr="000740AB">
        <w:rPr>
          <w:rFonts w:ascii="Arial" w:eastAsia="Times New Roman" w:hAnsi="Arial" w:cs="Arial"/>
          <w:color w:val="A52A2A"/>
          <w:sz w:val="24"/>
          <w:szCs w:val="24"/>
          <w:u w:val="single"/>
          <w:lang w:val="es-UY" w:eastAsia="es-UY"/>
        </w:rPr>
        <w:t>[2]</w:t>
      </w:r>
      <w:r w:rsidRPr="000740AB">
        <w:rPr>
          <w:rFonts w:ascii="Arial" w:eastAsia="Times New Roman" w:hAnsi="Arial" w:cs="Arial"/>
          <w:color w:val="000000"/>
          <w:sz w:val="24"/>
          <w:szCs w:val="24"/>
          <w:lang w:val="es-UY" w:eastAsia="es-UY"/>
        </w:rPr>
        <w:fldChar w:fldCharType="end"/>
      </w:r>
      <w:bookmarkEnd w:id="1"/>
      <w:r w:rsidRPr="000740AB">
        <w:rPr>
          <w:rFonts w:ascii="Arial" w:eastAsia="Times New Roman" w:hAnsi="Arial" w:cs="Arial"/>
          <w:color w:val="000000"/>
          <w:sz w:val="24"/>
          <w:szCs w:val="24"/>
          <w:lang w:val="es-UY" w:eastAsia="es-UY"/>
        </w:rPr>
        <w:t> para el mes de marzo en el cual se estima que la tasa de desempleo que pasó de 3.5 a 4.4% de febrero a marzo. El número de personas desempleadas pasó de 1.4 a 7.1 millones, aunque con las cifras que ofrece el SND se puede afirmar que este número sin duda crecerá. El sector servicios es el más afectado, principalmente en actividades recreativas, servicios de comida y bares. En menor medida se vieron afectados: servicios profesionales y de negocios; comercio al por menor y la construcción. Tomando en cuenta la velocidad con la cual han parado actividades, la probable quiebra de negocios y empresas, la recuperación de los empleos perdidos difícilmente se logrará alcanzar en su totalidad.</w:t>
      </w:r>
    </w:p>
    <w:p w:rsidR="000740AB" w:rsidRPr="000740AB" w:rsidRDefault="000740AB" w:rsidP="000740AB">
      <w:pPr>
        <w:spacing w:after="0" w:line="312" w:lineRule="atLeast"/>
        <w:textAlignment w:val="baseline"/>
        <w:rPr>
          <w:rFonts w:ascii="Arial" w:eastAsia="Times New Roman" w:hAnsi="Arial" w:cs="Arial"/>
          <w:color w:val="000000"/>
          <w:sz w:val="18"/>
          <w:szCs w:val="18"/>
          <w:lang w:val="es-UY" w:eastAsia="es-UY"/>
        </w:rPr>
      </w:pPr>
      <w:r w:rsidRPr="000740AB">
        <w:rPr>
          <w:rFonts w:ascii="Arial" w:eastAsia="Times New Roman" w:hAnsi="Arial" w:cs="Arial"/>
          <w:color w:val="000000"/>
          <w:sz w:val="18"/>
          <w:szCs w:val="18"/>
          <w:lang w:val="es-UY" w:eastAsia="es-UY"/>
        </w:rPr>
        <w:t> </w:t>
      </w:r>
    </w:p>
    <w:p w:rsidR="000740AB" w:rsidRPr="000740AB" w:rsidRDefault="000740AB" w:rsidP="000740AB">
      <w:pPr>
        <w:spacing w:after="0" w:line="312" w:lineRule="atLeast"/>
        <w:jc w:val="both"/>
        <w:textAlignment w:val="baseline"/>
        <w:rPr>
          <w:rFonts w:ascii="Arial" w:eastAsia="Times New Roman" w:hAnsi="Arial" w:cs="Arial"/>
          <w:color w:val="000000"/>
          <w:sz w:val="24"/>
          <w:szCs w:val="24"/>
          <w:lang w:val="es-UY" w:eastAsia="es-UY"/>
        </w:rPr>
      </w:pPr>
      <w:bookmarkStart w:id="2" w:name="_GoBack"/>
      <w:r w:rsidRPr="000740AB">
        <w:rPr>
          <w:noProof/>
          <w:sz w:val="24"/>
          <w:szCs w:val="24"/>
        </w:rPr>
        <w:drawing>
          <wp:anchor distT="0" distB="0" distL="114300" distR="114300" simplePos="0" relativeHeight="251659264" behindDoc="1" locked="0" layoutInCell="1" allowOverlap="1" wp14:anchorId="45F71A04">
            <wp:simplePos x="0" y="0"/>
            <wp:positionH relativeFrom="column">
              <wp:posOffset>-635</wp:posOffset>
            </wp:positionH>
            <wp:positionV relativeFrom="paragraph">
              <wp:posOffset>-635</wp:posOffset>
            </wp:positionV>
            <wp:extent cx="3657600" cy="2743200"/>
            <wp:effectExtent l="0" t="0" r="0" b="0"/>
            <wp:wrapTight wrapText="bothSides">
              <wp:wrapPolygon edited="0">
                <wp:start x="0" y="0"/>
                <wp:lineTo x="0" y="21450"/>
                <wp:lineTo x="21488" y="21450"/>
                <wp:lineTo x="21488" y="0"/>
                <wp:lineTo x="0" y="0"/>
              </wp:wrapPolygon>
            </wp:wrapTight>
            <wp:docPr id="3" name="Imagen 3" descr="C:\Users\Néstor Da Costa\AppData\Local\Microsoft\Windows\INetCache\Content.MSO\D3642A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éstor Da Costa\AppData\Local\Microsoft\Windows\INetCache\Content.MSO\D3642A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40AB">
        <w:rPr>
          <w:rFonts w:ascii="Arial" w:eastAsia="Times New Roman" w:hAnsi="Arial" w:cs="Arial"/>
          <w:color w:val="000000"/>
          <w:sz w:val="24"/>
          <w:szCs w:val="24"/>
          <w:lang w:val="es-UY" w:eastAsia="es-UY"/>
        </w:rPr>
        <w:t xml:space="preserve">Otro indicador que está disponible para una serie de economías es el Índice de Gerentes de Compras (PMI por sus siglas en inglés) que publica el IHS </w:t>
      </w:r>
      <w:proofErr w:type="spellStart"/>
      <w:r w:rsidRPr="000740AB">
        <w:rPr>
          <w:rFonts w:ascii="Arial" w:eastAsia="Times New Roman" w:hAnsi="Arial" w:cs="Arial"/>
          <w:color w:val="000000"/>
          <w:sz w:val="24"/>
          <w:szCs w:val="24"/>
          <w:lang w:val="es-UY" w:eastAsia="es-UY"/>
        </w:rPr>
        <w:t>Markit</w:t>
      </w:r>
      <w:proofErr w:type="spellEnd"/>
      <w:r w:rsidRPr="000740AB">
        <w:rPr>
          <w:rFonts w:ascii="Arial" w:eastAsia="Times New Roman" w:hAnsi="Arial" w:cs="Arial"/>
          <w:color w:val="000000"/>
          <w:sz w:val="24"/>
          <w:szCs w:val="24"/>
          <w:lang w:val="es-UY" w:eastAsia="es-UY"/>
        </w:rPr>
        <w:t>. Dicho índice nos indica la situación de diversos sectores de forma adelantada a indicadores macroeconómicos tradicionales. Existen tres niveles principales para el PMI: el manufacturero, el de servicios y el compuesto. En la siguiente gráfica se muestra el PMI compuesto para el mes de marzo, así como la variación que tuvo el índice del mes de febrero a marzo del presente año para una serie de economías. Cabe mencionar que un nivel por debajo del 50 representa una contracción, el cual es el caso para todas las economías presentadas. Italia, Francia y Reino Unido son las que presentaron las mayores caídas en este indicador. Al interior, el PMI manufacturero tuvo caídas, aunque estas fueron relativamente menores a las presentadas en el PMI de servicios en todas las economías.</w:t>
      </w:r>
    </w:p>
    <w:p w:rsidR="000740AB" w:rsidRPr="000740AB" w:rsidRDefault="000740AB" w:rsidP="000740AB">
      <w:pPr>
        <w:spacing w:after="0" w:line="312" w:lineRule="atLeast"/>
        <w:jc w:val="both"/>
        <w:textAlignment w:val="baseline"/>
        <w:rPr>
          <w:rFonts w:ascii="Arial" w:eastAsia="Times New Roman" w:hAnsi="Arial" w:cs="Arial"/>
          <w:color w:val="000000"/>
          <w:sz w:val="24"/>
          <w:szCs w:val="24"/>
          <w:lang w:val="es-UY" w:eastAsia="es-UY"/>
        </w:rPr>
      </w:pPr>
      <w:r w:rsidRPr="000740AB">
        <w:rPr>
          <w:rFonts w:ascii="Arial" w:eastAsia="Times New Roman" w:hAnsi="Arial" w:cs="Arial"/>
          <w:color w:val="000000"/>
          <w:sz w:val="24"/>
          <w:szCs w:val="24"/>
          <w:lang w:val="es-UY" w:eastAsia="es-UY"/>
        </w:rPr>
        <w:t> </w:t>
      </w:r>
    </w:p>
    <w:p w:rsidR="000740AB" w:rsidRPr="000740AB" w:rsidRDefault="000740AB" w:rsidP="000740AB">
      <w:pPr>
        <w:spacing w:after="0" w:line="312" w:lineRule="atLeast"/>
        <w:jc w:val="both"/>
        <w:textAlignment w:val="baseline"/>
        <w:rPr>
          <w:rFonts w:ascii="Arial" w:eastAsia="Times New Roman" w:hAnsi="Arial" w:cs="Arial"/>
          <w:color w:val="000000"/>
          <w:sz w:val="24"/>
          <w:szCs w:val="24"/>
          <w:lang w:val="es-UY" w:eastAsia="es-UY"/>
        </w:rPr>
      </w:pPr>
      <w:r w:rsidRPr="000740AB">
        <w:rPr>
          <w:rFonts w:ascii="Arial" w:eastAsia="Times New Roman" w:hAnsi="Arial" w:cs="Arial"/>
          <w:color w:val="000000"/>
          <w:sz w:val="24"/>
          <w:szCs w:val="24"/>
          <w:lang w:val="es-UY" w:eastAsia="es-UY"/>
        </w:rPr>
        <w:t>Se observa que el único país con un mejoramiento del PMI compuesto en marzo fue China el cual llegó a un nivel de 27.5 en febrero y tuvo una recuperación en marzo que alcanzó un nivel de 46.7, es decir, aunque tuvo una mejora con respecto al mes previo, sigue en un terreno de contractivo. El efecto dominó ya comenzó y ahora la situación que se dio en febrero en China se presenta en el resto de las economías en marzo. Al respecto se debe tener en cuenta: el impacto en las cadenas globales de valor, por un lado, y el propio efecto del cierre de negocios y la paralización de la actividad económica por la propagación del COVID-19 el cual explica el impacto en el PMI en el sector servicios, que es peor que el de la manufactura.</w:t>
      </w:r>
    </w:p>
    <w:p w:rsidR="000740AB" w:rsidRPr="000740AB" w:rsidRDefault="000740AB" w:rsidP="000740AB">
      <w:pPr>
        <w:spacing w:after="0" w:line="312" w:lineRule="atLeast"/>
        <w:jc w:val="both"/>
        <w:textAlignment w:val="baseline"/>
        <w:rPr>
          <w:rFonts w:ascii="Arial" w:eastAsia="Times New Roman" w:hAnsi="Arial" w:cs="Arial"/>
          <w:color w:val="000000"/>
          <w:sz w:val="24"/>
          <w:szCs w:val="24"/>
          <w:lang w:val="es-UY" w:eastAsia="es-UY"/>
        </w:rPr>
      </w:pPr>
      <w:r w:rsidRPr="000740AB">
        <w:rPr>
          <w:rFonts w:ascii="Arial" w:eastAsia="Times New Roman" w:hAnsi="Arial" w:cs="Arial"/>
          <w:color w:val="000000"/>
          <w:sz w:val="24"/>
          <w:szCs w:val="24"/>
          <w:lang w:val="es-UY" w:eastAsia="es-UY"/>
        </w:rPr>
        <w:t> </w:t>
      </w:r>
    </w:p>
    <w:p w:rsidR="000740AB" w:rsidRPr="000740AB" w:rsidRDefault="000740AB" w:rsidP="000740AB">
      <w:pPr>
        <w:spacing w:after="0" w:line="312" w:lineRule="atLeast"/>
        <w:jc w:val="both"/>
        <w:textAlignment w:val="baseline"/>
        <w:rPr>
          <w:rFonts w:ascii="Arial" w:eastAsia="Times New Roman" w:hAnsi="Arial" w:cs="Arial"/>
          <w:color w:val="000000"/>
          <w:sz w:val="24"/>
          <w:szCs w:val="24"/>
          <w:lang w:val="es-UY" w:eastAsia="es-UY"/>
        </w:rPr>
      </w:pPr>
      <w:r w:rsidRPr="000740AB">
        <w:rPr>
          <w:rFonts w:ascii="Arial" w:eastAsia="Times New Roman" w:hAnsi="Arial" w:cs="Arial"/>
          <w:color w:val="000000"/>
          <w:sz w:val="24"/>
          <w:szCs w:val="24"/>
          <w:lang w:val="es-UY" w:eastAsia="es-UY"/>
        </w:rPr>
        <w:t xml:space="preserve">Si se toma como referencia el caso de los </w:t>
      </w:r>
      <w:proofErr w:type="gramStart"/>
      <w:r w:rsidRPr="000740AB">
        <w:rPr>
          <w:rFonts w:ascii="Arial" w:eastAsia="Times New Roman" w:hAnsi="Arial" w:cs="Arial"/>
          <w:color w:val="000000"/>
          <w:sz w:val="24"/>
          <w:szCs w:val="24"/>
          <w:lang w:val="es-UY" w:eastAsia="es-UY"/>
        </w:rPr>
        <w:t>EEUU</w:t>
      </w:r>
      <w:proofErr w:type="gramEnd"/>
      <w:r w:rsidRPr="000740AB">
        <w:rPr>
          <w:rFonts w:ascii="Arial" w:eastAsia="Times New Roman" w:hAnsi="Arial" w:cs="Arial"/>
          <w:color w:val="000000"/>
          <w:sz w:val="24"/>
          <w:szCs w:val="24"/>
          <w:lang w:val="es-UY" w:eastAsia="es-UY"/>
        </w:rPr>
        <w:t xml:space="preserve"> y las consecuencias en el sector laboral y desempleo que ya se observan en dicho país, se puede inferir una situación similar para el resto del mundo en los próximos meses cuando se den a conocer cifras oficiales. La velocidad de la propagación del COVID-19 ha tenido efectos desde el sector financiero de los cuales hemos sido testigos y ahora vemos en el sector real. La primera ficha cayó hace unos meses. </w:t>
      </w:r>
      <w:bookmarkStart w:id="3" w:name="__DdeLink__3151_1033883655"/>
      <w:r w:rsidRPr="000740AB">
        <w:rPr>
          <w:rFonts w:ascii="Arial" w:eastAsia="Times New Roman" w:hAnsi="Arial" w:cs="Arial"/>
          <w:color w:val="A52A2A"/>
          <w:sz w:val="24"/>
          <w:szCs w:val="24"/>
          <w:lang w:val="es-UY" w:eastAsia="es-UY"/>
        </w:rPr>
        <w:t>El efecto, alcance y horizonte de normalización de toda actividad parecen estar lejos y son inciertos.</w:t>
      </w:r>
      <w:bookmarkEnd w:id="3"/>
      <w:r w:rsidRPr="000740AB">
        <w:rPr>
          <w:rFonts w:ascii="Arial" w:eastAsia="Times New Roman" w:hAnsi="Arial" w:cs="Arial"/>
          <w:color w:val="000000"/>
          <w:sz w:val="24"/>
          <w:szCs w:val="24"/>
          <w:lang w:val="es-UY" w:eastAsia="es-UY"/>
        </w:rPr>
        <w:t> La diferencia de la crisis del COVID-19 con las vividas en las últimas décadas es el grado de penetración, pues esta vez se abarcan todos los sectores y niveles socioeconómicos alrededor del mundo. Mientras no se encuentre una cura, estamos ante una crisis que puede tener consecuencias no vistas desde la Gran Depresión de 1929 según declaraciones de la directora del FMI.</w:t>
      </w:r>
    </w:p>
    <w:p w:rsidR="000740AB" w:rsidRPr="000740AB" w:rsidRDefault="000740AB" w:rsidP="000740AB">
      <w:pPr>
        <w:spacing w:after="0" w:line="312" w:lineRule="atLeast"/>
        <w:jc w:val="both"/>
        <w:textAlignment w:val="baseline"/>
        <w:rPr>
          <w:rFonts w:ascii="Arial" w:eastAsia="Times New Roman" w:hAnsi="Arial" w:cs="Arial"/>
          <w:color w:val="000000"/>
          <w:sz w:val="24"/>
          <w:szCs w:val="24"/>
          <w:lang w:val="es-UY" w:eastAsia="es-UY"/>
        </w:rPr>
      </w:pPr>
      <w:r w:rsidRPr="000740AB">
        <w:rPr>
          <w:rFonts w:ascii="Arial" w:eastAsia="Times New Roman" w:hAnsi="Arial" w:cs="Arial"/>
          <w:i/>
          <w:iCs/>
          <w:color w:val="000000"/>
          <w:sz w:val="24"/>
          <w:szCs w:val="24"/>
          <w:lang w:val="es-UY" w:eastAsia="es-UY"/>
        </w:rPr>
        <w:t>Num.9, Año 2020, 13 de abril 2020</w:t>
      </w:r>
    </w:p>
    <w:bookmarkEnd w:id="2"/>
    <w:p w:rsidR="000740AB" w:rsidRPr="000740AB" w:rsidRDefault="000740AB" w:rsidP="000740AB">
      <w:pPr>
        <w:spacing w:after="0" w:line="312" w:lineRule="atLeast"/>
        <w:textAlignment w:val="baseline"/>
        <w:rPr>
          <w:rFonts w:ascii="Arial" w:eastAsia="Times New Roman" w:hAnsi="Arial" w:cs="Arial"/>
          <w:color w:val="000000"/>
          <w:sz w:val="18"/>
          <w:szCs w:val="18"/>
          <w:lang w:val="es-UY" w:eastAsia="es-UY"/>
        </w:rPr>
      </w:pPr>
      <w:r w:rsidRPr="000740AB">
        <w:rPr>
          <w:rFonts w:ascii="Arial" w:eastAsia="Times New Roman" w:hAnsi="Arial" w:cs="Arial"/>
          <w:color w:val="000000"/>
          <w:sz w:val="18"/>
          <w:szCs w:val="18"/>
          <w:lang w:val="es-UY" w:eastAsia="es-UY"/>
        </w:rPr>
        <w:t> </w:t>
      </w:r>
    </w:p>
    <w:p w:rsidR="000740AB" w:rsidRPr="000740AB" w:rsidRDefault="000740AB" w:rsidP="000740AB">
      <w:pPr>
        <w:spacing w:after="0" w:line="312" w:lineRule="atLeast"/>
        <w:textAlignment w:val="baseline"/>
        <w:rPr>
          <w:rFonts w:ascii="Arial" w:eastAsia="Times New Roman" w:hAnsi="Arial" w:cs="Arial"/>
          <w:color w:val="000000"/>
          <w:sz w:val="18"/>
          <w:szCs w:val="18"/>
          <w:lang w:val="es-UY" w:eastAsia="es-UY"/>
        </w:rPr>
      </w:pPr>
      <w:r w:rsidRPr="000740AB">
        <w:rPr>
          <w:rFonts w:ascii="Arial" w:eastAsia="Times New Roman" w:hAnsi="Arial" w:cs="Arial"/>
          <w:b/>
          <w:bCs/>
          <w:color w:val="000000"/>
          <w:sz w:val="18"/>
          <w:szCs w:val="18"/>
          <w:lang w:val="es-UY" w:eastAsia="es-UY"/>
        </w:rPr>
        <w:t>- Oscar Ugarteche</w:t>
      </w:r>
      <w:r w:rsidRPr="000740AB">
        <w:rPr>
          <w:rFonts w:ascii="Arial" w:eastAsia="Times New Roman" w:hAnsi="Arial" w:cs="Arial"/>
          <w:color w:val="000000"/>
          <w:sz w:val="18"/>
          <w:szCs w:val="18"/>
          <w:lang w:val="es-UY" w:eastAsia="es-UY"/>
        </w:rPr>
        <w:t xml:space="preserve">, Investigador titular “C”, </w:t>
      </w:r>
      <w:proofErr w:type="spellStart"/>
      <w:r w:rsidRPr="000740AB">
        <w:rPr>
          <w:rFonts w:ascii="Arial" w:eastAsia="Times New Roman" w:hAnsi="Arial" w:cs="Arial"/>
          <w:color w:val="000000"/>
          <w:sz w:val="18"/>
          <w:szCs w:val="18"/>
          <w:lang w:val="es-UY" w:eastAsia="es-UY"/>
        </w:rPr>
        <w:t>IIEc</w:t>
      </w:r>
      <w:proofErr w:type="spellEnd"/>
      <w:r w:rsidRPr="000740AB">
        <w:rPr>
          <w:rFonts w:ascii="Arial" w:eastAsia="Times New Roman" w:hAnsi="Arial" w:cs="Arial"/>
          <w:color w:val="000000"/>
          <w:sz w:val="18"/>
          <w:szCs w:val="18"/>
          <w:lang w:val="es-UY" w:eastAsia="es-UY"/>
        </w:rPr>
        <w:t xml:space="preserve">-UNAM, SNI III </w:t>
      </w:r>
      <w:proofErr w:type="spellStart"/>
      <w:r w:rsidRPr="000740AB">
        <w:rPr>
          <w:rFonts w:ascii="Arial" w:eastAsia="Times New Roman" w:hAnsi="Arial" w:cs="Arial"/>
          <w:color w:val="000000"/>
          <w:sz w:val="18"/>
          <w:szCs w:val="18"/>
          <w:lang w:val="es-UY" w:eastAsia="es-UY"/>
        </w:rPr>
        <w:t>Conacyt</w:t>
      </w:r>
      <w:proofErr w:type="spellEnd"/>
      <w:r w:rsidRPr="000740AB">
        <w:rPr>
          <w:rFonts w:ascii="Arial" w:eastAsia="Times New Roman" w:hAnsi="Arial" w:cs="Arial"/>
          <w:color w:val="000000"/>
          <w:sz w:val="18"/>
          <w:szCs w:val="18"/>
          <w:lang w:val="es-UY" w:eastAsia="es-UY"/>
        </w:rPr>
        <w:t>, coordinador del obela.org.</w:t>
      </w:r>
    </w:p>
    <w:p w:rsidR="000740AB" w:rsidRPr="000740AB" w:rsidRDefault="000740AB" w:rsidP="000740AB">
      <w:pPr>
        <w:spacing w:after="0" w:line="312" w:lineRule="atLeast"/>
        <w:textAlignment w:val="baseline"/>
        <w:rPr>
          <w:rFonts w:ascii="Arial" w:eastAsia="Times New Roman" w:hAnsi="Arial" w:cs="Arial"/>
          <w:color w:val="000000"/>
          <w:sz w:val="18"/>
          <w:szCs w:val="18"/>
          <w:lang w:val="es-UY" w:eastAsia="es-UY"/>
        </w:rPr>
      </w:pPr>
      <w:r w:rsidRPr="000740AB">
        <w:rPr>
          <w:rFonts w:ascii="Arial" w:eastAsia="Times New Roman" w:hAnsi="Arial" w:cs="Arial"/>
          <w:b/>
          <w:bCs/>
          <w:color w:val="000000"/>
          <w:sz w:val="18"/>
          <w:szCs w:val="18"/>
          <w:lang w:val="es-UY" w:eastAsia="es-UY"/>
        </w:rPr>
        <w:t>- Alfredo Ocampo</w:t>
      </w:r>
      <w:r w:rsidRPr="000740AB">
        <w:rPr>
          <w:rFonts w:ascii="Arial" w:eastAsia="Times New Roman" w:hAnsi="Arial" w:cs="Arial"/>
          <w:color w:val="000000"/>
          <w:sz w:val="18"/>
          <w:szCs w:val="18"/>
          <w:lang w:val="es-UY" w:eastAsia="es-UY"/>
        </w:rPr>
        <w:t>, Facultad de Economía, UNAM, Miembro del obela.org</w:t>
      </w:r>
    </w:p>
    <w:p w:rsidR="000740AB" w:rsidRPr="000740AB" w:rsidRDefault="000740AB" w:rsidP="000740AB">
      <w:pPr>
        <w:spacing w:after="0" w:line="312" w:lineRule="atLeast"/>
        <w:textAlignment w:val="baseline"/>
        <w:rPr>
          <w:rFonts w:ascii="Arial" w:eastAsia="Times New Roman" w:hAnsi="Arial" w:cs="Arial"/>
          <w:color w:val="000000"/>
          <w:sz w:val="18"/>
          <w:szCs w:val="18"/>
          <w:lang w:val="es-UY" w:eastAsia="es-UY"/>
        </w:rPr>
      </w:pPr>
      <w:r w:rsidRPr="000740AB">
        <w:rPr>
          <w:rFonts w:ascii="Arial" w:eastAsia="Times New Roman" w:hAnsi="Arial" w:cs="Arial"/>
          <w:color w:val="000000"/>
          <w:sz w:val="18"/>
          <w:szCs w:val="18"/>
          <w:lang w:val="es-UY" w:eastAsia="es-UY"/>
        </w:rPr>
        <w:t> </w:t>
      </w:r>
    </w:p>
    <w:p w:rsidR="000740AB" w:rsidRPr="000740AB" w:rsidRDefault="000740AB" w:rsidP="000740AB">
      <w:pPr>
        <w:spacing w:after="0" w:line="312" w:lineRule="atLeast"/>
        <w:textAlignment w:val="baseline"/>
        <w:rPr>
          <w:rFonts w:ascii="Arial" w:eastAsia="Times New Roman" w:hAnsi="Arial" w:cs="Arial"/>
          <w:color w:val="000000"/>
          <w:sz w:val="18"/>
          <w:szCs w:val="18"/>
          <w:lang w:val="es-UY" w:eastAsia="es-UY"/>
        </w:rPr>
      </w:pPr>
      <w:r w:rsidRPr="000740AB">
        <w:rPr>
          <w:rFonts w:ascii="Arial" w:eastAsia="Times New Roman" w:hAnsi="Arial" w:cs="Arial"/>
          <w:color w:val="000000"/>
          <w:sz w:val="18"/>
          <w:szCs w:val="18"/>
          <w:lang w:val="es-UY" w:eastAsia="es-UY"/>
        </w:rPr>
        <w:t>Fuente: Observatorio Económico Latinoamericano – OBELA </w:t>
      </w:r>
      <w:hyperlink r:id="rId9" w:history="1">
        <w:r w:rsidRPr="000740AB">
          <w:rPr>
            <w:rFonts w:ascii="Arial" w:eastAsia="Times New Roman" w:hAnsi="Arial" w:cs="Arial"/>
            <w:color w:val="A52A2A"/>
            <w:sz w:val="18"/>
            <w:szCs w:val="18"/>
            <w:u w:val="single"/>
            <w:lang w:val="es-UY" w:eastAsia="es-UY"/>
          </w:rPr>
          <w:t>www.obela.org</w:t>
        </w:r>
      </w:hyperlink>
    </w:p>
    <w:p w:rsidR="000740AB" w:rsidRPr="000740AB" w:rsidRDefault="000740AB" w:rsidP="000740AB">
      <w:pPr>
        <w:spacing w:after="0" w:line="312" w:lineRule="atLeast"/>
        <w:textAlignment w:val="baseline"/>
        <w:rPr>
          <w:rFonts w:ascii="Arial" w:eastAsia="Times New Roman" w:hAnsi="Arial" w:cs="Arial"/>
          <w:color w:val="000000"/>
          <w:sz w:val="18"/>
          <w:szCs w:val="18"/>
          <w:lang w:val="es-UY" w:eastAsia="es-UY"/>
        </w:rPr>
      </w:pPr>
      <w:r w:rsidRPr="000740AB">
        <w:rPr>
          <w:rFonts w:ascii="Arial" w:eastAsia="Times New Roman" w:hAnsi="Arial" w:cs="Arial"/>
          <w:color w:val="000000"/>
          <w:sz w:val="18"/>
          <w:szCs w:val="18"/>
          <w:lang w:val="es-UY" w:eastAsia="es-UY"/>
        </w:rPr>
        <w:t> </w:t>
      </w:r>
    </w:p>
    <w:p w:rsidR="000740AB" w:rsidRPr="000740AB" w:rsidRDefault="000740AB" w:rsidP="000740AB">
      <w:pPr>
        <w:spacing w:after="0" w:line="312" w:lineRule="atLeast"/>
        <w:textAlignment w:val="baseline"/>
        <w:rPr>
          <w:rFonts w:ascii="Arial" w:eastAsia="Times New Roman" w:hAnsi="Arial" w:cs="Arial"/>
          <w:color w:val="000000"/>
          <w:sz w:val="18"/>
          <w:szCs w:val="18"/>
          <w:lang w:val="es-UY" w:eastAsia="es-UY"/>
        </w:rPr>
      </w:pPr>
      <w:r w:rsidRPr="000740AB">
        <w:rPr>
          <w:rFonts w:ascii="Arial" w:eastAsia="Times New Roman" w:hAnsi="Arial" w:cs="Arial"/>
          <w:color w:val="000000"/>
          <w:sz w:val="18"/>
          <w:szCs w:val="18"/>
          <w:lang w:val="es-UY" w:eastAsia="es-UY"/>
        </w:rPr>
        <w:t> </w:t>
      </w:r>
    </w:p>
    <w:p w:rsidR="000740AB" w:rsidRPr="000740AB" w:rsidRDefault="000740AB" w:rsidP="000740AB">
      <w:pPr>
        <w:spacing w:after="0" w:line="312" w:lineRule="atLeast"/>
        <w:textAlignment w:val="baseline"/>
        <w:rPr>
          <w:rFonts w:ascii="Arial" w:eastAsia="Times New Roman" w:hAnsi="Arial" w:cs="Arial"/>
          <w:color w:val="000000"/>
          <w:sz w:val="18"/>
          <w:szCs w:val="18"/>
          <w:lang w:val="es-UY" w:eastAsia="es-UY"/>
        </w:rPr>
      </w:pPr>
      <w:r w:rsidRPr="000740AB">
        <w:rPr>
          <w:rFonts w:ascii="Arial" w:eastAsia="Times New Roman" w:hAnsi="Arial" w:cs="Arial"/>
          <w:color w:val="000000"/>
          <w:sz w:val="18"/>
          <w:szCs w:val="18"/>
          <w:lang w:val="es-UY" w:eastAsia="es-UY"/>
        </w:rPr>
        <w:pict>
          <v:rect id="_x0000_i1025" style="width:140.3pt;height:.75pt" o:hrpct="330" o:hrstd="t" o:hr="t" fillcolor="#a0a0a0" stroked="f"/>
        </w:pict>
      </w:r>
    </w:p>
    <w:bookmarkStart w:id="4" w:name="_ftn1"/>
    <w:p w:rsidR="000740AB" w:rsidRPr="000740AB" w:rsidRDefault="000740AB" w:rsidP="000740AB">
      <w:pPr>
        <w:spacing w:after="0" w:line="312" w:lineRule="atLeast"/>
        <w:textAlignment w:val="baseline"/>
        <w:rPr>
          <w:rFonts w:ascii="Arial" w:eastAsia="Times New Roman" w:hAnsi="Arial" w:cs="Arial"/>
          <w:color w:val="000000"/>
          <w:sz w:val="18"/>
          <w:szCs w:val="18"/>
          <w:lang w:val="es-UY" w:eastAsia="es-UY"/>
        </w:rPr>
      </w:pPr>
      <w:r w:rsidRPr="000740AB">
        <w:rPr>
          <w:rFonts w:ascii="Arial" w:eastAsia="Times New Roman" w:hAnsi="Arial" w:cs="Arial"/>
          <w:color w:val="000000"/>
          <w:sz w:val="18"/>
          <w:szCs w:val="18"/>
          <w:lang w:val="es-UY" w:eastAsia="es-UY"/>
        </w:rPr>
        <w:fldChar w:fldCharType="begin"/>
      </w:r>
      <w:r w:rsidRPr="000740AB">
        <w:rPr>
          <w:rFonts w:ascii="Arial" w:eastAsia="Times New Roman" w:hAnsi="Arial" w:cs="Arial"/>
          <w:color w:val="000000"/>
          <w:sz w:val="18"/>
          <w:szCs w:val="18"/>
          <w:lang w:val="es-UY" w:eastAsia="es-UY"/>
        </w:rPr>
        <w:instrText xml:space="preserve"> HYPERLINK "https://www.alainet.org/es/articulo/205882?utm_source=email&amp;utm_campaign=alai-amlatina" \l "_ftnref1" \o "" </w:instrText>
      </w:r>
      <w:r w:rsidRPr="000740AB">
        <w:rPr>
          <w:rFonts w:ascii="Arial" w:eastAsia="Times New Roman" w:hAnsi="Arial" w:cs="Arial"/>
          <w:color w:val="000000"/>
          <w:sz w:val="18"/>
          <w:szCs w:val="18"/>
          <w:lang w:val="es-UY" w:eastAsia="es-UY"/>
        </w:rPr>
        <w:fldChar w:fldCharType="separate"/>
      </w:r>
      <w:r w:rsidRPr="000740AB">
        <w:rPr>
          <w:rFonts w:ascii="Arial" w:eastAsia="Times New Roman" w:hAnsi="Arial" w:cs="Arial"/>
          <w:color w:val="A52A2A"/>
          <w:sz w:val="18"/>
          <w:szCs w:val="18"/>
          <w:u w:val="single"/>
          <w:lang w:val="es-UY" w:eastAsia="es-UY"/>
        </w:rPr>
        <w:t>[1]</w:t>
      </w:r>
      <w:r w:rsidRPr="000740AB">
        <w:rPr>
          <w:rFonts w:ascii="Arial" w:eastAsia="Times New Roman" w:hAnsi="Arial" w:cs="Arial"/>
          <w:color w:val="000000"/>
          <w:sz w:val="18"/>
          <w:szCs w:val="18"/>
          <w:lang w:val="es-UY" w:eastAsia="es-UY"/>
        </w:rPr>
        <w:fldChar w:fldCharType="end"/>
      </w:r>
      <w:bookmarkEnd w:id="4"/>
      <w:r w:rsidRPr="000740AB">
        <w:rPr>
          <w:rFonts w:ascii="Arial" w:eastAsia="Times New Roman" w:hAnsi="Arial" w:cs="Arial"/>
          <w:color w:val="000000"/>
          <w:sz w:val="18"/>
          <w:szCs w:val="18"/>
          <w:lang w:val="es-UY" w:eastAsia="es-UY"/>
        </w:rPr>
        <w:t>          </w:t>
      </w:r>
      <w:hyperlink r:id="rId10" w:history="1">
        <w:r w:rsidRPr="000740AB">
          <w:rPr>
            <w:rFonts w:ascii="Arial" w:eastAsia="Times New Roman" w:hAnsi="Arial" w:cs="Arial"/>
            <w:color w:val="A52A2A"/>
            <w:sz w:val="18"/>
            <w:szCs w:val="18"/>
            <w:u w:val="single"/>
            <w:lang w:val="es-UY" w:eastAsia="es-UY"/>
          </w:rPr>
          <w:t>https://www.dol.gov/ui/data.pdf</w:t>
        </w:r>
      </w:hyperlink>
    </w:p>
    <w:bookmarkStart w:id="5" w:name="_ftn2"/>
    <w:p w:rsidR="000740AB" w:rsidRPr="000740AB" w:rsidRDefault="000740AB" w:rsidP="000740AB">
      <w:pPr>
        <w:spacing w:after="0" w:line="312" w:lineRule="atLeast"/>
        <w:textAlignment w:val="baseline"/>
        <w:rPr>
          <w:rFonts w:ascii="Arial" w:eastAsia="Times New Roman" w:hAnsi="Arial" w:cs="Arial"/>
          <w:color w:val="000000"/>
          <w:sz w:val="18"/>
          <w:szCs w:val="18"/>
          <w:lang w:val="es-UY" w:eastAsia="es-UY"/>
        </w:rPr>
      </w:pPr>
      <w:r w:rsidRPr="000740AB">
        <w:rPr>
          <w:rFonts w:ascii="Arial" w:eastAsia="Times New Roman" w:hAnsi="Arial" w:cs="Arial"/>
          <w:color w:val="000000"/>
          <w:sz w:val="18"/>
          <w:szCs w:val="18"/>
          <w:lang w:val="es-UY" w:eastAsia="es-UY"/>
        </w:rPr>
        <w:fldChar w:fldCharType="begin"/>
      </w:r>
      <w:r w:rsidRPr="000740AB">
        <w:rPr>
          <w:rFonts w:ascii="Arial" w:eastAsia="Times New Roman" w:hAnsi="Arial" w:cs="Arial"/>
          <w:color w:val="000000"/>
          <w:sz w:val="18"/>
          <w:szCs w:val="18"/>
          <w:lang w:val="es-UY" w:eastAsia="es-UY"/>
        </w:rPr>
        <w:instrText xml:space="preserve"> HYPERLINK "https://www.alainet.org/es/articulo/205882?utm_source=email&amp;utm_campaign=alai-amlatina" \l "_ftnref2" \o "" </w:instrText>
      </w:r>
      <w:r w:rsidRPr="000740AB">
        <w:rPr>
          <w:rFonts w:ascii="Arial" w:eastAsia="Times New Roman" w:hAnsi="Arial" w:cs="Arial"/>
          <w:color w:val="000000"/>
          <w:sz w:val="18"/>
          <w:szCs w:val="18"/>
          <w:lang w:val="es-UY" w:eastAsia="es-UY"/>
        </w:rPr>
        <w:fldChar w:fldCharType="separate"/>
      </w:r>
      <w:r w:rsidRPr="000740AB">
        <w:rPr>
          <w:rFonts w:ascii="Arial" w:eastAsia="Times New Roman" w:hAnsi="Arial" w:cs="Arial"/>
          <w:color w:val="A52A2A"/>
          <w:sz w:val="18"/>
          <w:szCs w:val="18"/>
          <w:u w:val="single"/>
          <w:lang w:val="es-UY" w:eastAsia="es-UY"/>
        </w:rPr>
        <w:t>[2]</w:t>
      </w:r>
      <w:r w:rsidRPr="000740AB">
        <w:rPr>
          <w:rFonts w:ascii="Arial" w:eastAsia="Times New Roman" w:hAnsi="Arial" w:cs="Arial"/>
          <w:color w:val="000000"/>
          <w:sz w:val="18"/>
          <w:szCs w:val="18"/>
          <w:lang w:val="es-UY" w:eastAsia="es-UY"/>
        </w:rPr>
        <w:fldChar w:fldCharType="end"/>
      </w:r>
      <w:bookmarkEnd w:id="5"/>
      <w:r w:rsidRPr="000740AB">
        <w:rPr>
          <w:rFonts w:ascii="Arial" w:eastAsia="Times New Roman" w:hAnsi="Arial" w:cs="Arial"/>
          <w:color w:val="000000"/>
          <w:sz w:val="18"/>
          <w:szCs w:val="18"/>
          <w:lang w:val="es-UY" w:eastAsia="es-UY"/>
        </w:rPr>
        <w:t>          </w:t>
      </w:r>
      <w:hyperlink r:id="rId11" w:history="1">
        <w:r w:rsidRPr="000740AB">
          <w:rPr>
            <w:rFonts w:ascii="Arial" w:eastAsia="Times New Roman" w:hAnsi="Arial" w:cs="Arial"/>
            <w:color w:val="A52A2A"/>
            <w:sz w:val="18"/>
            <w:szCs w:val="18"/>
            <w:u w:val="single"/>
            <w:lang w:val="es-UY" w:eastAsia="es-UY"/>
          </w:rPr>
          <w:t>https://www.bls.gov/news.release/pdf/empsit.pdf</w:t>
        </w:r>
      </w:hyperlink>
    </w:p>
    <w:p w:rsidR="000740AB" w:rsidRPr="000740AB" w:rsidRDefault="000740AB" w:rsidP="000740AB">
      <w:pPr>
        <w:spacing w:after="0" w:line="312" w:lineRule="atLeast"/>
        <w:textAlignment w:val="baseline"/>
        <w:rPr>
          <w:rFonts w:ascii="Arial" w:eastAsia="Times New Roman" w:hAnsi="Arial" w:cs="Arial"/>
          <w:color w:val="000000"/>
          <w:sz w:val="18"/>
          <w:szCs w:val="18"/>
          <w:lang w:val="es-UY" w:eastAsia="es-UY"/>
        </w:rPr>
      </w:pPr>
      <w:r w:rsidRPr="000740AB">
        <w:rPr>
          <w:rFonts w:ascii="Arial" w:eastAsia="Times New Roman" w:hAnsi="Arial" w:cs="Arial"/>
          <w:color w:val="000000"/>
          <w:sz w:val="18"/>
          <w:szCs w:val="18"/>
          <w:lang w:val="es-UY" w:eastAsia="es-UY"/>
        </w:rPr>
        <w:t>https://www.alainet.org/es/articulo/205882</w:t>
      </w:r>
    </w:p>
    <w:p w:rsidR="002E2F5B" w:rsidRDefault="000740AB" w:rsidP="000740AB">
      <w:hyperlink r:id="rId12" w:anchor="facebook" w:tgtFrame="_blank" w:history="1">
        <w:r w:rsidRPr="000740AB">
          <w:rPr>
            <w:rFonts w:ascii="Arial" w:eastAsia="Times New Roman" w:hAnsi="Arial" w:cs="Arial"/>
            <w:color w:val="0000FF"/>
            <w:sz w:val="24"/>
            <w:szCs w:val="24"/>
            <w:u w:val="single"/>
            <w:lang w:val="es-UY" w:eastAsia="es-UY"/>
          </w:rPr>
          <w:br/>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ardian Text Sans Web">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AB"/>
    <w:rsid w:val="000740AB"/>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499208-BE35-402F-955D-55291143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796098">
      <w:bodyDiv w:val="1"/>
      <w:marLeft w:val="0"/>
      <w:marRight w:val="0"/>
      <w:marTop w:val="0"/>
      <w:marBottom w:val="0"/>
      <w:divBdr>
        <w:top w:val="none" w:sz="0" w:space="0" w:color="auto"/>
        <w:left w:val="none" w:sz="0" w:space="0" w:color="auto"/>
        <w:bottom w:val="none" w:sz="0" w:space="0" w:color="auto"/>
        <w:right w:val="none" w:sz="0" w:space="0" w:color="auto"/>
      </w:divBdr>
      <w:divsChild>
        <w:div w:id="1189023487">
          <w:marLeft w:val="0"/>
          <w:marRight w:val="0"/>
          <w:marTop w:val="45"/>
          <w:marBottom w:val="90"/>
          <w:divBdr>
            <w:top w:val="none" w:sz="0" w:space="0" w:color="auto"/>
            <w:left w:val="none" w:sz="0" w:space="0" w:color="auto"/>
            <w:bottom w:val="none" w:sz="0" w:space="0" w:color="auto"/>
            <w:right w:val="none" w:sz="0" w:space="0" w:color="auto"/>
          </w:divBdr>
          <w:divsChild>
            <w:div w:id="1647002721">
              <w:marLeft w:val="0"/>
              <w:marRight w:val="0"/>
              <w:marTop w:val="0"/>
              <w:marBottom w:val="0"/>
              <w:divBdr>
                <w:top w:val="none" w:sz="0" w:space="0" w:color="auto"/>
                <w:left w:val="none" w:sz="0" w:space="0" w:color="auto"/>
                <w:bottom w:val="none" w:sz="0" w:space="0" w:color="auto"/>
                <w:right w:val="none" w:sz="0" w:space="0" w:color="auto"/>
              </w:divBdr>
              <w:divsChild>
                <w:div w:id="482045565">
                  <w:marLeft w:val="0"/>
                  <w:marRight w:val="0"/>
                  <w:marTop w:val="0"/>
                  <w:marBottom w:val="0"/>
                  <w:divBdr>
                    <w:top w:val="none" w:sz="0" w:space="0" w:color="auto"/>
                    <w:left w:val="none" w:sz="0" w:space="0" w:color="auto"/>
                    <w:bottom w:val="none" w:sz="0" w:space="0" w:color="auto"/>
                    <w:right w:val="none" w:sz="0" w:space="0" w:color="auto"/>
                  </w:divBdr>
                  <w:divsChild>
                    <w:div w:id="318776580">
                      <w:marLeft w:val="0"/>
                      <w:marRight w:val="0"/>
                      <w:marTop w:val="0"/>
                      <w:marBottom w:val="0"/>
                      <w:divBdr>
                        <w:top w:val="none" w:sz="0" w:space="0" w:color="auto"/>
                        <w:left w:val="none" w:sz="0" w:space="0" w:color="auto"/>
                        <w:bottom w:val="none" w:sz="0" w:space="0" w:color="auto"/>
                        <w:right w:val="none" w:sz="0" w:space="0" w:color="auto"/>
                      </w:divBdr>
                      <w:divsChild>
                        <w:div w:id="34748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224367">
          <w:marLeft w:val="0"/>
          <w:marRight w:val="0"/>
          <w:marTop w:val="0"/>
          <w:marBottom w:val="0"/>
          <w:divBdr>
            <w:top w:val="none" w:sz="0" w:space="0" w:color="auto"/>
            <w:left w:val="none" w:sz="0" w:space="0" w:color="auto"/>
            <w:bottom w:val="none" w:sz="0" w:space="0" w:color="auto"/>
            <w:right w:val="none" w:sz="0" w:space="0" w:color="auto"/>
          </w:divBdr>
          <w:divsChild>
            <w:div w:id="1730374365">
              <w:marLeft w:val="0"/>
              <w:marRight w:val="0"/>
              <w:marTop w:val="0"/>
              <w:marBottom w:val="0"/>
              <w:divBdr>
                <w:top w:val="none" w:sz="0" w:space="0" w:color="auto"/>
                <w:left w:val="none" w:sz="0" w:space="0" w:color="auto"/>
                <w:bottom w:val="none" w:sz="0" w:space="0" w:color="auto"/>
                <w:right w:val="none" w:sz="0" w:space="0" w:color="auto"/>
              </w:divBdr>
              <w:divsChild>
                <w:div w:id="1679233071">
                  <w:marLeft w:val="0"/>
                  <w:marRight w:val="0"/>
                  <w:marTop w:val="0"/>
                  <w:marBottom w:val="0"/>
                  <w:divBdr>
                    <w:top w:val="none" w:sz="0" w:space="0" w:color="auto"/>
                    <w:left w:val="none" w:sz="0" w:space="0" w:color="auto"/>
                    <w:bottom w:val="none" w:sz="0" w:space="0" w:color="auto"/>
                    <w:right w:val="none" w:sz="0" w:space="0" w:color="auto"/>
                  </w:divBdr>
                  <w:divsChild>
                    <w:div w:id="528376054">
                      <w:marLeft w:val="0"/>
                      <w:marRight w:val="0"/>
                      <w:marTop w:val="0"/>
                      <w:marBottom w:val="0"/>
                      <w:divBdr>
                        <w:top w:val="none" w:sz="0" w:space="0" w:color="auto"/>
                        <w:left w:val="none" w:sz="0" w:space="0" w:color="auto"/>
                        <w:bottom w:val="none" w:sz="0" w:space="0" w:color="auto"/>
                        <w:right w:val="none" w:sz="0" w:space="0" w:color="auto"/>
                      </w:divBdr>
                      <w:divsChild>
                        <w:div w:id="1571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765390">
          <w:marLeft w:val="0"/>
          <w:marRight w:val="0"/>
          <w:marTop w:val="0"/>
          <w:marBottom w:val="75"/>
          <w:divBdr>
            <w:top w:val="none" w:sz="0" w:space="0" w:color="auto"/>
            <w:left w:val="none" w:sz="0" w:space="0" w:color="auto"/>
            <w:bottom w:val="none" w:sz="0" w:space="0" w:color="auto"/>
            <w:right w:val="none" w:sz="0" w:space="0" w:color="auto"/>
          </w:divBdr>
          <w:divsChild>
            <w:div w:id="154499224">
              <w:marLeft w:val="0"/>
              <w:marRight w:val="0"/>
              <w:marTop w:val="0"/>
              <w:marBottom w:val="0"/>
              <w:divBdr>
                <w:top w:val="none" w:sz="0" w:space="0" w:color="auto"/>
                <w:left w:val="none" w:sz="0" w:space="0" w:color="auto"/>
                <w:bottom w:val="none" w:sz="0" w:space="0" w:color="auto"/>
                <w:right w:val="none" w:sz="0" w:space="0" w:color="auto"/>
              </w:divBdr>
            </w:div>
          </w:divsChild>
        </w:div>
        <w:div w:id="584533704">
          <w:marLeft w:val="0"/>
          <w:marRight w:val="0"/>
          <w:marTop w:val="0"/>
          <w:marBottom w:val="0"/>
          <w:divBdr>
            <w:top w:val="none" w:sz="0" w:space="0" w:color="auto"/>
            <w:left w:val="none" w:sz="0" w:space="0" w:color="auto"/>
            <w:bottom w:val="none" w:sz="0" w:space="0" w:color="auto"/>
            <w:right w:val="none" w:sz="0" w:space="0" w:color="auto"/>
          </w:divBdr>
          <w:divsChild>
            <w:div w:id="1997874940">
              <w:marLeft w:val="0"/>
              <w:marRight w:val="0"/>
              <w:marTop w:val="0"/>
              <w:marBottom w:val="0"/>
              <w:divBdr>
                <w:top w:val="none" w:sz="0" w:space="0" w:color="auto"/>
                <w:left w:val="none" w:sz="0" w:space="0" w:color="auto"/>
                <w:bottom w:val="none" w:sz="0" w:space="0" w:color="auto"/>
                <w:right w:val="none" w:sz="0" w:space="0" w:color="auto"/>
              </w:divBdr>
              <w:divsChild>
                <w:div w:id="1047753676">
                  <w:marLeft w:val="0"/>
                  <w:marRight w:val="0"/>
                  <w:marTop w:val="0"/>
                  <w:marBottom w:val="0"/>
                  <w:divBdr>
                    <w:top w:val="none" w:sz="0" w:space="0" w:color="auto"/>
                    <w:left w:val="none" w:sz="0" w:space="0" w:color="auto"/>
                    <w:bottom w:val="none" w:sz="0" w:space="0" w:color="auto"/>
                    <w:right w:val="none" w:sz="0" w:space="0" w:color="auto"/>
                  </w:divBdr>
                  <w:divsChild>
                    <w:div w:id="507215495">
                      <w:marLeft w:val="0"/>
                      <w:marRight w:val="0"/>
                      <w:marTop w:val="0"/>
                      <w:marBottom w:val="0"/>
                      <w:divBdr>
                        <w:top w:val="none" w:sz="0" w:space="0" w:color="auto"/>
                        <w:left w:val="none" w:sz="0" w:space="0" w:color="auto"/>
                        <w:bottom w:val="none" w:sz="0" w:space="0" w:color="auto"/>
                        <w:right w:val="none" w:sz="0" w:space="0" w:color="auto"/>
                      </w:divBdr>
                      <w:divsChild>
                        <w:div w:id="114427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18935">
          <w:marLeft w:val="0"/>
          <w:marRight w:val="0"/>
          <w:marTop w:val="0"/>
          <w:marBottom w:val="0"/>
          <w:divBdr>
            <w:top w:val="none" w:sz="0" w:space="0" w:color="auto"/>
            <w:left w:val="none" w:sz="0" w:space="0" w:color="auto"/>
            <w:bottom w:val="none" w:sz="0" w:space="0" w:color="auto"/>
            <w:right w:val="none" w:sz="0" w:space="0" w:color="auto"/>
          </w:divBdr>
          <w:divsChild>
            <w:div w:id="348022165">
              <w:marLeft w:val="0"/>
              <w:marRight w:val="0"/>
              <w:marTop w:val="0"/>
              <w:marBottom w:val="0"/>
              <w:divBdr>
                <w:top w:val="none" w:sz="0" w:space="0" w:color="auto"/>
                <w:left w:val="none" w:sz="0" w:space="0" w:color="auto"/>
                <w:bottom w:val="none" w:sz="0" w:space="0" w:color="auto"/>
                <w:right w:val="none" w:sz="0" w:space="0" w:color="auto"/>
              </w:divBdr>
            </w:div>
          </w:divsChild>
        </w:div>
        <w:div w:id="587235028">
          <w:marLeft w:val="0"/>
          <w:marRight w:val="0"/>
          <w:marTop w:val="0"/>
          <w:marBottom w:val="0"/>
          <w:divBdr>
            <w:top w:val="none" w:sz="0" w:space="0" w:color="auto"/>
            <w:left w:val="none" w:sz="0" w:space="0" w:color="auto"/>
            <w:bottom w:val="none" w:sz="0" w:space="0" w:color="auto"/>
            <w:right w:val="none" w:sz="0" w:space="0" w:color="auto"/>
          </w:divBdr>
          <w:divsChild>
            <w:div w:id="173035446">
              <w:marLeft w:val="0"/>
              <w:marRight w:val="0"/>
              <w:marTop w:val="0"/>
              <w:marBottom w:val="0"/>
              <w:divBdr>
                <w:top w:val="none" w:sz="0" w:space="0" w:color="auto"/>
                <w:left w:val="none" w:sz="0" w:space="0" w:color="auto"/>
                <w:bottom w:val="none" w:sz="0" w:space="0" w:color="auto"/>
                <w:right w:val="none" w:sz="0" w:space="0" w:color="auto"/>
              </w:divBdr>
              <w:divsChild>
                <w:div w:id="1122769845">
                  <w:marLeft w:val="0"/>
                  <w:marRight w:val="0"/>
                  <w:marTop w:val="0"/>
                  <w:marBottom w:val="0"/>
                  <w:divBdr>
                    <w:top w:val="none" w:sz="0" w:space="0" w:color="auto"/>
                    <w:left w:val="none" w:sz="0" w:space="0" w:color="auto"/>
                    <w:bottom w:val="none" w:sz="0" w:space="0" w:color="auto"/>
                    <w:right w:val="none" w:sz="0" w:space="0" w:color="auto"/>
                  </w:divBdr>
                  <w:divsChild>
                    <w:div w:id="2068607149">
                      <w:marLeft w:val="0"/>
                      <w:marRight w:val="0"/>
                      <w:marTop w:val="0"/>
                      <w:marBottom w:val="0"/>
                      <w:divBdr>
                        <w:top w:val="none" w:sz="0" w:space="0" w:color="auto"/>
                        <w:left w:val="none" w:sz="0" w:space="0" w:color="auto"/>
                        <w:bottom w:val="none" w:sz="0" w:space="0" w:color="auto"/>
                        <w:right w:val="none" w:sz="0" w:space="0" w:color="auto"/>
                      </w:divBdr>
                      <w:divsChild>
                        <w:div w:id="1531844536">
                          <w:marLeft w:val="0"/>
                          <w:marRight w:val="0"/>
                          <w:marTop w:val="0"/>
                          <w:marBottom w:val="0"/>
                          <w:divBdr>
                            <w:top w:val="none" w:sz="0" w:space="0" w:color="auto"/>
                            <w:left w:val="none" w:sz="0" w:space="0" w:color="auto"/>
                            <w:bottom w:val="none" w:sz="0" w:space="0" w:color="auto"/>
                            <w:right w:val="none" w:sz="0" w:space="0" w:color="auto"/>
                          </w:divBdr>
                          <w:divsChild>
                            <w:div w:id="20768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165546">
          <w:marLeft w:val="0"/>
          <w:marRight w:val="0"/>
          <w:marTop w:val="0"/>
          <w:marBottom w:val="0"/>
          <w:divBdr>
            <w:top w:val="none" w:sz="0" w:space="0" w:color="auto"/>
            <w:left w:val="none" w:sz="0" w:space="0" w:color="auto"/>
            <w:bottom w:val="none" w:sz="0" w:space="0" w:color="auto"/>
            <w:right w:val="none" w:sz="0" w:space="0" w:color="auto"/>
          </w:divBdr>
          <w:divsChild>
            <w:div w:id="1197889170">
              <w:marLeft w:val="0"/>
              <w:marRight w:val="0"/>
              <w:marTop w:val="0"/>
              <w:marBottom w:val="0"/>
              <w:divBdr>
                <w:top w:val="none" w:sz="0" w:space="0" w:color="auto"/>
                <w:left w:val="none" w:sz="0" w:space="0" w:color="auto"/>
                <w:bottom w:val="none" w:sz="0" w:space="0" w:color="auto"/>
                <w:right w:val="none" w:sz="0" w:space="0" w:color="auto"/>
              </w:divBdr>
            </w:div>
          </w:divsChild>
        </w:div>
        <w:div w:id="1092974086">
          <w:marLeft w:val="0"/>
          <w:marRight w:val="0"/>
          <w:marTop w:val="0"/>
          <w:marBottom w:val="0"/>
          <w:divBdr>
            <w:top w:val="none" w:sz="0" w:space="0" w:color="auto"/>
            <w:left w:val="none" w:sz="0" w:space="0" w:color="auto"/>
            <w:bottom w:val="none" w:sz="0" w:space="0" w:color="auto"/>
            <w:right w:val="none" w:sz="0" w:space="0" w:color="auto"/>
          </w:divBdr>
          <w:divsChild>
            <w:div w:id="827677073">
              <w:marLeft w:val="0"/>
              <w:marRight w:val="0"/>
              <w:marTop w:val="0"/>
              <w:marBottom w:val="0"/>
              <w:divBdr>
                <w:top w:val="none" w:sz="0" w:space="0" w:color="auto"/>
                <w:left w:val="none" w:sz="0" w:space="0" w:color="auto"/>
                <w:bottom w:val="none" w:sz="0" w:space="0" w:color="auto"/>
                <w:right w:val="none" w:sz="0" w:space="0" w:color="auto"/>
              </w:divBdr>
              <w:divsChild>
                <w:div w:id="381564646">
                  <w:marLeft w:val="0"/>
                  <w:marRight w:val="0"/>
                  <w:marTop w:val="0"/>
                  <w:marBottom w:val="0"/>
                  <w:divBdr>
                    <w:top w:val="none" w:sz="0" w:space="0" w:color="auto"/>
                    <w:left w:val="none" w:sz="0" w:space="0" w:color="auto"/>
                    <w:bottom w:val="none" w:sz="0" w:space="0" w:color="auto"/>
                    <w:right w:val="none" w:sz="0" w:space="0" w:color="auto"/>
                  </w:divBdr>
                  <w:divsChild>
                    <w:div w:id="1516847296">
                      <w:marLeft w:val="0"/>
                      <w:marRight w:val="0"/>
                      <w:marTop w:val="0"/>
                      <w:marBottom w:val="0"/>
                      <w:divBdr>
                        <w:top w:val="none" w:sz="0" w:space="0" w:color="auto"/>
                        <w:left w:val="none" w:sz="0" w:space="0" w:color="auto"/>
                        <w:bottom w:val="none" w:sz="0" w:space="0" w:color="auto"/>
                        <w:right w:val="none" w:sz="0" w:space="0" w:color="auto"/>
                      </w:divBdr>
                      <w:divsChild>
                        <w:div w:id="422410958">
                          <w:marLeft w:val="0"/>
                          <w:marRight w:val="0"/>
                          <w:marTop w:val="0"/>
                          <w:marBottom w:val="0"/>
                          <w:divBdr>
                            <w:top w:val="none" w:sz="0" w:space="0" w:color="auto"/>
                            <w:left w:val="none" w:sz="0" w:space="0" w:color="auto"/>
                            <w:bottom w:val="none" w:sz="0" w:space="0" w:color="auto"/>
                            <w:right w:val="none" w:sz="0" w:space="0" w:color="auto"/>
                          </w:divBdr>
                          <w:divsChild>
                            <w:div w:id="752897210">
                              <w:marLeft w:val="0"/>
                              <w:marRight w:val="0"/>
                              <w:marTop w:val="0"/>
                              <w:marBottom w:val="0"/>
                              <w:divBdr>
                                <w:top w:val="none" w:sz="0" w:space="0" w:color="auto"/>
                                <w:left w:val="none" w:sz="0" w:space="0" w:color="auto"/>
                                <w:bottom w:val="none" w:sz="0" w:space="0" w:color="auto"/>
                                <w:right w:val="none" w:sz="0" w:space="0" w:color="auto"/>
                              </w:divBdr>
                              <w:divsChild>
                                <w:div w:id="121308608">
                                  <w:marLeft w:val="0"/>
                                  <w:marRight w:val="0"/>
                                  <w:marTop w:val="0"/>
                                  <w:marBottom w:val="0"/>
                                  <w:divBdr>
                                    <w:top w:val="none" w:sz="0" w:space="0" w:color="auto"/>
                                    <w:left w:val="none" w:sz="0" w:space="0" w:color="auto"/>
                                    <w:bottom w:val="none" w:sz="0" w:space="0" w:color="auto"/>
                                    <w:right w:val="none" w:sz="0" w:space="0" w:color="auto"/>
                                  </w:divBdr>
                                </w:div>
                                <w:div w:id="57254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980163">
          <w:marLeft w:val="375"/>
          <w:marRight w:val="0"/>
          <w:marTop w:val="30"/>
          <w:marBottom w:val="0"/>
          <w:divBdr>
            <w:top w:val="none" w:sz="0" w:space="0" w:color="auto"/>
            <w:left w:val="none" w:sz="0" w:space="0" w:color="auto"/>
            <w:bottom w:val="none" w:sz="0" w:space="0" w:color="auto"/>
            <w:right w:val="none" w:sz="0" w:space="0" w:color="auto"/>
          </w:divBdr>
          <w:divsChild>
            <w:div w:id="158302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alaine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bls.gov/news.release/pdf/empsit.pdf" TargetMode="External"/><Relationship Id="rId5" Type="http://schemas.openxmlformats.org/officeDocument/2006/relationships/hyperlink" Target="https://www.alainet.org/es/autores/alfredo-ocampo" TargetMode="External"/><Relationship Id="rId10" Type="http://schemas.openxmlformats.org/officeDocument/2006/relationships/hyperlink" Target="https://www.dol.gov/ui/data.pdf" TargetMode="External"/><Relationship Id="rId4" Type="http://schemas.openxmlformats.org/officeDocument/2006/relationships/hyperlink" Target="https://www.alainet.org/es/autores/oscar-ugarteche" TargetMode="External"/><Relationship Id="rId9" Type="http://schemas.openxmlformats.org/officeDocument/2006/relationships/hyperlink" Target="http://www.obela.org/"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1016</Words>
  <Characters>5593</Characters>
  <Application>Microsoft Office Word</Application>
  <DocSecurity>0</DocSecurity>
  <Lines>46</Lines>
  <Paragraphs>13</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COVID-19: el comienzo del efecto dominó</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2020-04-15T19:01:00Z</dcterms:created>
  <dcterms:modified xsi:type="dcterms:W3CDTF">2020-04-15T19:03:00Z</dcterms:modified>
</cp:coreProperties>
</file>