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70367" w14:textId="77777777" w:rsidR="00D90A89" w:rsidRPr="0029426C" w:rsidRDefault="00D90A89" w:rsidP="003175D5">
      <w:pPr>
        <w:shd w:val="clear" w:color="auto" w:fill="E2EFD9" w:themeFill="accent6" w:themeFillTint="33"/>
        <w:spacing w:after="0" w:line="276" w:lineRule="auto"/>
        <w:jc w:val="both"/>
        <w:rPr>
          <w:sz w:val="24"/>
          <w:szCs w:val="24"/>
          <w:lang w:val="es-ES"/>
        </w:rPr>
      </w:pPr>
      <w:bookmarkStart w:id="0" w:name="_Hlk36454158"/>
      <w:r w:rsidRPr="0029426C">
        <w:rPr>
          <w:sz w:val="24"/>
          <w:szCs w:val="24"/>
          <w:lang w:val="es-ES"/>
        </w:rPr>
        <w:t xml:space="preserve">A las y los hermanos de las cuatro comunidades eclesiales de base integradas en el movimiento ecuménico de </w:t>
      </w:r>
      <w:proofErr w:type="spellStart"/>
      <w:r w:rsidRPr="0029426C">
        <w:rPr>
          <w:sz w:val="24"/>
          <w:szCs w:val="24"/>
          <w:lang w:val="es-ES"/>
        </w:rPr>
        <w:t>CEBs</w:t>
      </w:r>
      <w:proofErr w:type="spellEnd"/>
      <w:r w:rsidRPr="0029426C">
        <w:rPr>
          <w:sz w:val="24"/>
          <w:szCs w:val="24"/>
          <w:lang w:val="es-ES"/>
        </w:rPr>
        <w:t xml:space="preserve"> en Mejicanos “Alfonso, Miguel, Ernesto y Paula Acevedo”.</w:t>
      </w:r>
    </w:p>
    <w:bookmarkEnd w:id="0"/>
    <w:p w14:paraId="454A7DA1" w14:textId="77777777" w:rsidR="00D90A89" w:rsidRPr="0029426C" w:rsidRDefault="00D90A89" w:rsidP="008C6D89">
      <w:pPr>
        <w:spacing w:after="0" w:line="276" w:lineRule="auto"/>
        <w:jc w:val="both"/>
        <w:rPr>
          <w:sz w:val="24"/>
          <w:szCs w:val="24"/>
          <w:lang w:val="es-ES"/>
        </w:rPr>
      </w:pPr>
    </w:p>
    <w:p w14:paraId="55C262F4" w14:textId="6FD763D9" w:rsidR="00D90A89" w:rsidRPr="003175D5" w:rsidRDefault="00D90A89" w:rsidP="008C6D89">
      <w:pPr>
        <w:jc w:val="both"/>
        <w:rPr>
          <w:b/>
          <w:bCs/>
          <w:sz w:val="24"/>
          <w:szCs w:val="24"/>
          <w:lang w:val="es-ES"/>
        </w:rPr>
      </w:pPr>
      <w:bookmarkStart w:id="1" w:name="_GoBack"/>
      <w:r w:rsidRPr="003175D5">
        <w:rPr>
          <w:b/>
          <w:bCs/>
          <w:sz w:val="24"/>
          <w:szCs w:val="24"/>
          <w:lang w:val="es-ES"/>
        </w:rPr>
        <w:t xml:space="preserve">Mensaje 30.   16 de abril de  2020.   </w:t>
      </w:r>
      <w:r w:rsidR="00596851" w:rsidRPr="003175D5">
        <w:rPr>
          <w:b/>
          <w:bCs/>
          <w:sz w:val="24"/>
          <w:szCs w:val="24"/>
          <w:lang w:val="es-ES"/>
        </w:rPr>
        <w:t xml:space="preserve">Jesús buscó a ellos-as. </w:t>
      </w:r>
    </w:p>
    <w:bookmarkEnd w:id="1"/>
    <w:p w14:paraId="78F258D2" w14:textId="32F91252" w:rsidR="00CF2402" w:rsidRDefault="00396B7E" w:rsidP="008C6D89">
      <w:pPr>
        <w:jc w:val="both"/>
        <w:rPr>
          <w:lang w:val="es-ES"/>
        </w:rPr>
      </w:pPr>
      <w:r>
        <w:rPr>
          <w:lang w:val="es-ES"/>
        </w:rPr>
        <w:t xml:space="preserve">En tiempos de crisis y de cuarentena buscamos en qué o quien apoyarnos para que nos anime y nos de esperanza y alegría.  </w:t>
      </w:r>
      <w:r w:rsidR="004F664F">
        <w:rPr>
          <w:lang w:val="es-ES"/>
        </w:rPr>
        <w:t xml:space="preserve">Recordemos a aquellas dos personas del evangelio de Lucas (24,13-36) que estaban decepcionados de todo. “Nosotros esperábamos que él sería el libertador de Israel”.  Estaban </w:t>
      </w:r>
      <w:r w:rsidR="00A577BD">
        <w:rPr>
          <w:lang w:val="es-ES"/>
        </w:rPr>
        <w:t xml:space="preserve">perdidos. Solo les quedó regresar a su pueblo.  De nada ha servido todo eso.  Son nuestras dudas: ¿de qué sirve que mi familia </w:t>
      </w:r>
      <w:r w:rsidR="00CF2402">
        <w:rPr>
          <w:lang w:val="es-ES"/>
        </w:rPr>
        <w:t>está</w:t>
      </w:r>
      <w:r w:rsidR="00A577BD">
        <w:rPr>
          <w:lang w:val="es-ES"/>
        </w:rPr>
        <w:t xml:space="preserve"> encerrad</w:t>
      </w:r>
      <w:r w:rsidR="00CF2402">
        <w:rPr>
          <w:lang w:val="es-ES"/>
        </w:rPr>
        <w:t>a</w:t>
      </w:r>
      <w:r w:rsidR="00A577BD">
        <w:rPr>
          <w:lang w:val="es-ES"/>
        </w:rPr>
        <w:t xml:space="preserve"> en casa o que me tienen como en una cárcel en cuarent</w:t>
      </w:r>
      <w:r w:rsidR="00855638">
        <w:rPr>
          <w:lang w:val="es-ES"/>
        </w:rPr>
        <w:t>ena?</w:t>
      </w:r>
      <w:r w:rsidR="00CF2402">
        <w:rPr>
          <w:lang w:val="es-ES"/>
        </w:rPr>
        <w:t xml:space="preserve">  ¿de qué sirve que nos prohíben trabajar para ganar el pan de cada día?  Queremos invitarles a releer ese relato de las dos personas de Emaús.  </w:t>
      </w:r>
      <w:r w:rsidR="00373907">
        <w:rPr>
          <w:lang w:val="es-ES"/>
        </w:rPr>
        <w:t>Tratemos de vivir la lectura y de identificarnos con esas dos personas del relato evangélico.</w:t>
      </w:r>
      <w:r w:rsidR="00176810">
        <w:rPr>
          <w:lang w:val="es-ES"/>
        </w:rPr>
        <w:t xml:space="preserve">  Leamos el texto en 4 partes</w:t>
      </w:r>
      <w:r w:rsidR="00176810">
        <w:rPr>
          <w:rStyle w:val="Refdenotaalpie"/>
          <w:lang w:val="es-ES"/>
        </w:rPr>
        <w:footnoteReference w:id="1"/>
      </w:r>
      <w:r w:rsidR="00176810">
        <w:rPr>
          <w:lang w:val="es-ES"/>
        </w:rPr>
        <w:t xml:space="preserve">. </w:t>
      </w:r>
    </w:p>
    <w:p w14:paraId="572B6726" w14:textId="78FA6143" w:rsidR="00373907" w:rsidRDefault="00373907" w:rsidP="008C6D89">
      <w:pPr>
        <w:jc w:val="both"/>
        <w:rPr>
          <w:lang w:val="es-ES"/>
        </w:rPr>
      </w:pPr>
      <w:r>
        <w:rPr>
          <w:lang w:val="es-ES"/>
        </w:rPr>
        <w:t>Todo inicia con que Jesús se acerca a las dos personas</w:t>
      </w:r>
      <w:r w:rsidR="00176810">
        <w:rPr>
          <w:lang w:val="es-ES"/>
        </w:rPr>
        <w:t>.  Jesús quiere acompañar, escuchar, compartir sus vivencias, sus emociones</w:t>
      </w:r>
      <w:r w:rsidR="00BE5A2F">
        <w:rPr>
          <w:lang w:val="es-ES"/>
        </w:rPr>
        <w:t>.  Jesús se acerca con todo respeto y ofrece el calor de la amistad</w:t>
      </w:r>
      <w:r w:rsidR="00A676FB">
        <w:rPr>
          <w:lang w:val="es-ES"/>
        </w:rPr>
        <w:t>.  Escucha la tristeza</w:t>
      </w:r>
      <w:r w:rsidR="002079D1">
        <w:rPr>
          <w:lang w:val="es-ES"/>
        </w:rPr>
        <w:t>. Pregunta para que compartan con confianza.   Esto sucede hoy también. Jesús se acerca de la misma manera a cada familia.  Así es el proceso de cada evangelización auténtica: el tiempo de conocernos, de vivir amistad, de escuchar es fundamental.  En nuestras oraci</w:t>
      </w:r>
      <w:r w:rsidR="003C41EA">
        <w:rPr>
          <w:lang w:val="es-ES"/>
        </w:rPr>
        <w:t xml:space="preserve">ones expresemos a Jesús nuestras preocupaciones, decepciones, emociones, …. Recordemos que Jesús nos da todo el tiempo y el espacio para escucharnos.  </w:t>
      </w:r>
    </w:p>
    <w:p w14:paraId="1EF0F91C" w14:textId="73AD2445" w:rsidR="003C41EA" w:rsidRDefault="003C41EA" w:rsidP="008C6D89">
      <w:pPr>
        <w:jc w:val="both"/>
        <w:rPr>
          <w:lang w:val="es-ES"/>
        </w:rPr>
      </w:pPr>
      <w:r>
        <w:rPr>
          <w:lang w:val="es-ES"/>
        </w:rPr>
        <w:t xml:space="preserve">Luego </w:t>
      </w:r>
      <w:r w:rsidR="009D1E80">
        <w:rPr>
          <w:lang w:val="es-ES"/>
        </w:rPr>
        <w:t>Jesús les comparte como él mismo ha ido comprendiendo su vida y su muerte a la luz de la Escritura, especialmente los cantos del siervo sufriente en el Profeta Isaías.  Todos los profetas fueron asesinados porque desnudaron los sistemas de opresión, explotación, corrupción (también en la religión)</w:t>
      </w:r>
      <w:r w:rsidR="00AF4EB8">
        <w:rPr>
          <w:lang w:val="es-ES"/>
        </w:rPr>
        <w:t xml:space="preserve">, porque anunciaron lo que más tarde Jesús iba a llamar el Reino de Dios.  Para nosotros hoy serán sobre todo los 4 Evangelios que nos ayudarán a comprender la misión de Jesús y su muerte anunciada. Nuestra experiencia de Monseñor Romero nos ayuda a comprender mejor a Jesús. </w:t>
      </w:r>
      <w:r w:rsidR="008C6D89">
        <w:rPr>
          <w:lang w:val="es-ES"/>
        </w:rPr>
        <w:t xml:space="preserve"> Fijémonos en el texto: aun después de la iluminación bíblica (vivida y explicada) de parte de Jesús, las dos personas no se dan cuenta quién está caminando con ellas.</w:t>
      </w:r>
    </w:p>
    <w:p w14:paraId="54555730" w14:textId="1A8C90AD" w:rsidR="008C6D89" w:rsidRDefault="002F0997" w:rsidP="008C6D89">
      <w:pPr>
        <w:jc w:val="both"/>
        <w:rPr>
          <w:lang w:val="es-ES"/>
        </w:rPr>
      </w:pPr>
      <w:r>
        <w:rPr>
          <w:lang w:val="es-ES"/>
        </w:rPr>
        <w:t>Invitan a Jesús a quedarse con ellas, a compartir su casa, la comida.  Quieren seguir compartiendo con esa figura, ahora ya no solamente hablando y escuchando, sino compartiendo las cosas de la casa. A lo mejor le ofrecieron agua para lavarse los pies</w:t>
      </w:r>
      <w:r w:rsidR="000E6787">
        <w:rPr>
          <w:lang w:val="es-ES"/>
        </w:rPr>
        <w:t xml:space="preserve"> después de la caminata. Y en la mesa, al comer, cuando Jesús tomó un trozo pan y partiéndolo se lo dio, se les abrieron los ojos y sabían que era </w:t>
      </w:r>
      <w:r w:rsidR="0094740D">
        <w:rPr>
          <w:lang w:val="es-ES"/>
        </w:rPr>
        <w:t>Él.  Pero Él también desapareció.  El resucitado ya no estaba viviendo físicamente con ellas.</w:t>
      </w:r>
      <w:r w:rsidR="00AB6F54">
        <w:rPr>
          <w:lang w:val="es-ES"/>
        </w:rPr>
        <w:t xml:space="preserve">  El compartir de</w:t>
      </w:r>
      <w:r w:rsidR="00094397">
        <w:rPr>
          <w:lang w:val="es-ES"/>
        </w:rPr>
        <w:t xml:space="preserve"> la mesa, del trabajo, de la organización, de las actividades conjuntas para avanzar hacia el Reino, nos abrirán los ojos. </w:t>
      </w:r>
    </w:p>
    <w:p w14:paraId="2C36B54C" w14:textId="723CBE32" w:rsidR="0094740D" w:rsidRDefault="0094740D" w:rsidP="008C6D89">
      <w:pPr>
        <w:jc w:val="both"/>
        <w:rPr>
          <w:lang w:val="es-ES"/>
        </w:rPr>
      </w:pPr>
      <w:r>
        <w:rPr>
          <w:lang w:val="es-ES"/>
        </w:rPr>
        <w:t xml:space="preserve">A pesar del cansancio y la hora de la noche regresaron a </w:t>
      </w:r>
      <w:r w:rsidR="00AB6F54">
        <w:rPr>
          <w:lang w:val="es-ES"/>
        </w:rPr>
        <w:t xml:space="preserve">Jerusalén para compartir alegre y esperanzadamente a los otros/as discípulos/as lo que habían vivido.  Éstos/as les compartieron sus propias experiencias de haberse encontrado con el Resucitado.   </w:t>
      </w:r>
      <w:r w:rsidR="00094397">
        <w:rPr>
          <w:lang w:val="es-ES"/>
        </w:rPr>
        <w:t>Los discípulos/as celebraron con mucha alegría que ese Jesús</w:t>
      </w:r>
      <w:r w:rsidR="003418C2">
        <w:rPr>
          <w:lang w:val="es-ES"/>
        </w:rPr>
        <w:t>,</w:t>
      </w:r>
      <w:r w:rsidR="00094397">
        <w:rPr>
          <w:lang w:val="es-ES"/>
        </w:rPr>
        <w:t xml:space="preserve"> que sus líderes habían asesinado, vivía</w:t>
      </w:r>
      <w:r w:rsidR="003325A8">
        <w:rPr>
          <w:lang w:val="es-ES"/>
        </w:rPr>
        <w:t xml:space="preserve"> y estaba presente entre ellos/as.  Nadie los detendría para dar testimonio en público y para anunciar el Reino.   Celebremos esas experiencias de vida. Recordemos como en el camino de la vida hemos encontrado a Jesús que – </w:t>
      </w:r>
      <w:r w:rsidR="00596851">
        <w:rPr>
          <w:lang w:val="es-ES"/>
        </w:rPr>
        <w:t>a través</w:t>
      </w:r>
      <w:r w:rsidR="003325A8">
        <w:rPr>
          <w:lang w:val="es-ES"/>
        </w:rPr>
        <w:t xml:space="preserve"> de tantas circunstancias y relaciones humanas – nos ha llamada.  Celebremos hoy para no desanimarnos y vencer las tentaciones.  </w:t>
      </w:r>
      <w:r w:rsidR="00596851">
        <w:rPr>
          <w:lang w:val="es-ES"/>
        </w:rPr>
        <w:t xml:space="preserve"> </w:t>
      </w:r>
    </w:p>
    <w:p w14:paraId="6F607097" w14:textId="4C6F8F7C" w:rsidR="00596851" w:rsidRDefault="00596851" w:rsidP="008C6D89">
      <w:pPr>
        <w:jc w:val="both"/>
        <w:rPr>
          <w:lang w:val="es-ES"/>
        </w:rPr>
      </w:pPr>
      <w:r>
        <w:rPr>
          <w:lang w:val="es-ES"/>
        </w:rPr>
        <w:t xml:space="preserve">Tere y Luis </w:t>
      </w:r>
    </w:p>
    <w:p w14:paraId="4908266D" w14:textId="77777777" w:rsidR="008C6D89" w:rsidRPr="00D90A89" w:rsidRDefault="008C6D89">
      <w:pPr>
        <w:rPr>
          <w:lang w:val="es-ES"/>
        </w:rPr>
      </w:pPr>
    </w:p>
    <w:sectPr w:rsidR="008C6D89" w:rsidRPr="00D90A89" w:rsidSect="00596851">
      <w:pgSz w:w="12240" w:h="15840" w:code="1"/>
      <w:pgMar w:top="794"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CFB50" w14:textId="77777777" w:rsidR="002A3EE1" w:rsidRDefault="002A3EE1" w:rsidP="00176810">
      <w:pPr>
        <w:spacing w:after="0" w:line="240" w:lineRule="auto"/>
      </w:pPr>
      <w:r>
        <w:separator/>
      </w:r>
    </w:p>
  </w:endnote>
  <w:endnote w:type="continuationSeparator" w:id="0">
    <w:p w14:paraId="23ECE34F" w14:textId="77777777" w:rsidR="002A3EE1" w:rsidRDefault="002A3EE1" w:rsidP="0017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1E080" w14:textId="77777777" w:rsidR="002A3EE1" w:rsidRDefault="002A3EE1" w:rsidP="00176810">
      <w:pPr>
        <w:spacing w:after="0" w:line="240" w:lineRule="auto"/>
      </w:pPr>
      <w:r>
        <w:separator/>
      </w:r>
    </w:p>
  </w:footnote>
  <w:footnote w:type="continuationSeparator" w:id="0">
    <w:p w14:paraId="6D539CF5" w14:textId="77777777" w:rsidR="002A3EE1" w:rsidRDefault="002A3EE1" w:rsidP="00176810">
      <w:pPr>
        <w:spacing w:after="0" w:line="240" w:lineRule="auto"/>
      </w:pPr>
      <w:r>
        <w:continuationSeparator/>
      </w:r>
    </w:p>
  </w:footnote>
  <w:footnote w:id="1">
    <w:p w14:paraId="42951779" w14:textId="4EC7A9B3" w:rsidR="00176810" w:rsidRPr="00090860" w:rsidRDefault="00176810" w:rsidP="00176810">
      <w:pPr>
        <w:pStyle w:val="Prrafodelista"/>
        <w:tabs>
          <w:tab w:val="left" w:pos="-720"/>
        </w:tabs>
        <w:suppressAutoHyphens/>
        <w:spacing w:after="0" w:line="240" w:lineRule="auto"/>
        <w:rPr>
          <w:rFonts w:ascii="Times New Roman" w:eastAsia="Times New Roman" w:hAnsi="Times New Roman" w:cs="Times New Roman"/>
          <w:b/>
          <w:sz w:val="20"/>
          <w:szCs w:val="20"/>
          <w:lang w:val="es-ES_tradnl" w:eastAsia="es-ES"/>
        </w:rPr>
      </w:pPr>
      <w:r>
        <w:rPr>
          <w:rStyle w:val="Refdenotaalpie"/>
        </w:rPr>
        <w:footnoteRef/>
      </w:r>
      <w:r>
        <w:t xml:space="preserve"> </w:t>
      </w:r>
      <w:r>
        <w:rPr>
          <w:lang w:val="es-ES"/>
        </w:rPr>
        <w:t xml:space="preserve"> </w:t>
      </w:r>
      <w:r w:rsidRPr="00157D47">
        <w:rPr>
          <w:rFonts w:ascii="Times New Roman" w:eastAsia="Times New Roman" w:hAnsi="Times New Roman" w:cs="Times New Roman"/>
          <w:b/>
          <w:sz w:val="20"/>
          <w:szCs w:val="20"/>
          <w:lang w:val="es-ES_tradnl" w:eastAsia="es-ES"/>
        </w:rPr>
        <w:t xml:space="preserve">1. </w:t>
      </w:r>
      <w:r w:rsidRPr="00157D47">
        <w:rPr>
          <w:rFonts w:ascii="Times New Roman" w:eastAsia="Times New Roman" w:hAnsi="Times New Roman" w:cs="Times New Roman"/>
          <w:b/>
          <w:bCs/>
          <w:sz w:val="20"/>
          <w:szCs w:val="20"/>
          <w:lang w:val="es-ES_tradnl" w:eastAsia="es-ES"/>
        </w:rPr>
        <w:t xml:space="preserve">v. </w:t>
      </w:r>
      <w:r w:rsidRPr="00157D47">
        <w:rPr>
          <w:rFonts w:ascii="Times New Roman" w:eastAsia="Times New Roman" w:hAnsi="Times New Roman" w:cs="Times New Roman"/>
          <w:b/>
          <w:bCs/>
          <w:sz w:val="20"/>
          <w:szCs w:val="20"/>
          <w:u w:val="single"/>
          <w:lang w:val="es-ES_tradnl" w:eastAsia="es-ES"/>
        </w:rPr>
        <w:t>13</w:t>
      </w:r>
      <w:r w:rsidR="00BE5A2F">
        <w:rPr>
          <w:rFonts w:ascii="Times New Roman" w:eastAsia="Times New Roman" w:hAnsi="Times New Roman" w:cs="Times New Roman"/>
          <w:b/>
          <w:bCs/>
          <w:sz w:val="20"/>
          <w:szCs w:val="20"/>
          <w:u w:val="single"/>
          <w:lang w:val="es-ES_tradnl" w:eastAsia="es-ES"/>
        </w:rPr>
        <w:t>-</w:t>
      </w:r>
      <w:r w:rsidRPr="00157D47">
        <w:rPr>
          <w:rFonts w:ascii="Times New Roman" w:eastAsia="Times New Roman" w:hAnsi="Times New Roman" w:cs="Times New Roman"/>
          <w:b/>
          <w:bCs/>
          <w:sz w:val="20"/>
          <w:szCs w:val="20"/>
          <w:u w:val="single"/>
          <w:lang w:val="es-ES_tradnl" w:eastAsia="es-ES"/>
        </w:rPr>
        <w:t>24</w:t>
      </w:r>
      <w:r>
        <w:rPr>
          <w:rFonts w:ascii="Times New Roman" w:eastAsia="Times New Roman" w:hAnsi="Times New Roman" w:cs="Times New Roman"/>
          <w:b/>
          <w:bCs/>
          <w:sz w:val="20"/>
          <w:szCs w:val="20"/>
          <w:lang w:val="es-ES_tradnl" w:eastAsia="es-ES"/>
        </w:rPr>
        <w:t xml:space="preserve">. - 2. </w:t>
      </w:r>
      <w:r w:rsidRPr="00090860">
        <w:rPr>
          <w:rFonts w:ascii="Times New Roman" w:eastAsia="Times New Roman" w:hAnsi="Times New Roman" w:cs="Times New Roman"/>
          <w:b/>
          <w:bCs/>
          <w:sz w:val="20"/>
          <w:szCs w:val="20"/>
          <w:lang w:val="es-ES_tradnl" w:eastAsia="es-ES"/>
        </w:rPr>
        <w:t>v</w:t>
      </w:r>
      <w:r>
        <w:rPr>
          <w:rFonts w:ascii="Times New Roman" w:eastAsia="Times New Roman" w:hAnsi="Times New Roman" w:cs="Times New Roman"/>
          <w:b/>
          <w:bCs/>
          <w:sz w:val="20"/>
          <w:szCs w:val="20"/>
          <w:lang w:val="es-ES_tradnl" w:eastAsia="es-ES"/>
        </w:rPr>
        <w:t>v</w:t>
      </w:r>
      <w:r w:rsidRPr="00090860">
        <w:rPr>
          <w:rFonts w:ascii="Times New Roman" w:eastAsia="Times New Roman" w:hAnsi="Times New Roman" w:cs="Times New Roman"/>
          <w:b/>
          <w:bCs/>
          <w:sz w:val="20"/>
          <w:szCs w:val="20"/>
          <w:lang w:val="es-ES_tradnl" w:eastAsia="es-ES"/>
        </w:rPr>
        <w:t xml:space="preserve">. </w:t>
      </w:r>
      <w:r w:rsidRPr="00157D47">
        <w:rPr>
          <w:rFonts w:ascii="Times New Roman" w:eastAsia="Times New Roman" w:hAnsi="Times New Roman" w:cs="Times New Roman"/>
          <w:b/>
          <w:bCs/>
          <w:sz w:val="20"/>
          <w:szCs w:val="20"/>
          <w:u w:val="single"/>
          <w:lang w:val="es-ES_tradnl" w:eastAsia="es-ES"/>
        </w:rPr>
        <w:t>25-27</w:t>
      </w:r>
      <w:r>
        <w:rPr>
          <w:rFonts w:ascii="Times New Roman" w:eastAsia="Times New Roman" w:hAnsi="Times New Roman" w:cs="Times New Roman"/>
          <w:b/>
          <w:bCs/>
          <w:sz w:val="20"/>
          <w:szCs w:val="20"/>
          <w:lang w:val="es-ES_tradnl" w:eastAsia="es-ES"/>
        </w:rPr>
        <w:t xml:space="preserve">. - 3. </w:t>
      </w:r>
      <w:r w:rsidRPr="00090860">
        <w:rPr>
          <w:rFonts w:ascii="Times New Roman" w:eastAsia="Times New Roman" w:hAnsi="Times New Roman" w:cs="Times New Roman"/>
          <w:b/>
          <w:bCs/>
          <w:sz w:val="20"/>
          <w:szCs w:val="20"/>
          <w:lang w:val="es-ES_tradnl" w:eastAsia="es-ES"/>
        </w:rPr>
        <w:t xml:space="preserve">v. </w:t>
      </w:r>
      <w:r w:rsidRPr="00157D47">
        <w:rPr>
          <w:rFonts w:ascii="Times New Roman" w:eastAsia="Times New Roman" w:hAnsi="Times New Roman" w:cs="Times New Roman"/>
          <w:b/>
          <w:bCs/>
          <w:sz w:val="20"/>
          <w:szCs w:val="20"/>
          <w:u w:val="single"/>
          <w:lang w:val="es-ES_tradnl" w:eastAsia="es-ES"/>
        </w:rPr>
        <w:t>28-32</w:t>
      </w:r>
      <w:r>
        <w:rPr>
          <w:rFonts w:ascii="Times New Roman" w:eastAsia="Times New Roman" w:hAnsi="Times New Roman" w:cs="Times New Roman"/>
          <w:b/>
          <w:bCs/>
          <w:sz w:val="20"/>
          <w:szCs w:val="20"/>
          <w:lang w:val="es-ES_tradnl" w:eastAsia="es-ES"/>
        </w:rPr>
        <w:t xml:space="preserve">. - 4. </w:t>
      </w:r>
      <w:r w:rsidRPr="00090860">
        <w:rPr>
          <w:rFonts w:ascii="Times New Roman" w:eastAsia="Times New Roman" w:hAnsi="Times New Roman" w:cs="Times New Roman"/>
          <w:b/>
          <w:bCs/>
          <w:sz w:val="20"/>
          <w:szCs w:val="20"/>
          <w:lang w:val="es-ES_tradnl" w:eastAsia="es-ES"/>
        </w:rPr>
        <w:t xml:space="preserve">v. </w:t>
      </w:r>
      <w:r w:rsidRPr="00157D47">
        <w:rPr>
          <w:rFonts w:ascii="Times New Roman" w:eastAsia="Times New Roman" w:hAnsi="Times New Roman" w:cs="Times New Roman"/>
          <w:b/>
          <w:bCs/>
          <w:sz w:val="20"/>
          <w:szCs w:val="20"/>
          <w:u w:val="single"/>
          <w:lang w:val="es-ES_tradnl" w:eastAsia="es-ES"/>
        </w:rPr>
        <w:t>33-35</w:t>
      </w:r>
      <w:r>
        <w:rPr>
          <w:rFonts w:ascii="Times New Roman" w:eastAsia="Times New Roman" w:hAnsi="Times New Roman" w:cs="Times New Roman"/>
          <w:b/>
          <w:bCs/>
          <w:sz w:val="20"/>
          <w:szCs w:val="20"/>
          <w:lang w:val="es-ES_tradnl" w:eastAsia="es-ES"/>
        </w:rPr>
        <w:t>.</w:t>
      </w:r>
    </w:p>
    <w:p w14:paraId="6CB243D6" w14:textId="77777777" w:rsidR="00176810" w:rsidRDefault="00176810" w:rsidP="00176810">
      <w:pPr>
        <w:tabs>
          <w:tab w:val="left" w:pos="-720"/>
        </w:tabs>
        <w:suppressAutoHyphens/>
        <w:spacing w:after="0" w:line="240" w:lineRule="auto"/>
        <w:rPr>
          <w:rFonts w:ascii="Times New Roman" w:eastAsia="Times New Roman" w:hAnsi="Times New Roman" w:cs="Times New Roman"/>
          <w:sz w:val="20"/>
          <w:szCs w:val="20"/>
          <w:lang w:val="es-ES_tradnl" w:eastAsia="es-ES"/>
        </w:rPr>
      </w:pPr>
    </w:p>
    <w:p w14:paraId="184094D4" w14:textId="0DE16281" w:rsidR="00176810" w:rsidRPr="00176810" w:rsidRDefault="00176810">
      <w:pPr>
        <w:pStyle w:val="Textonotapie"/>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89"/>
    <w:rsid w:val="00094397"/>
    <w:rsid w:val="000B74AE"/>
    <w:rsid w:val="000E6787"/>
    <w:rsid w:val="00176810"/>
    <w:rsid w:val="0018339C"/>
    <w:rsid w:val="002079D1"/>
    <w:rsid w:val="002A3EE1"/>
    <w:rsid w:val="002F0997"/>
    <w:rsid w:val="003175D5"/>
    <w:rsid w:val="003325A8"/>
    <w:rsid w:val="003418C2"/>
    <w:rsid w:val="00373907"/>
    <w:rsid w:val="00396B7E"/>
    <w:rsid w:val="003C41EA"/>
    <w:rsid w:val="00481573"/>
    <w:rsid w:val="004853C6"/>
    <w:rsid w:val="004A3CD8"/>
    <w:rsid w:val="004F664F"/>
    <w:rsid w:val="00596851"/>
    <w:rsid w:val="00775B1C"/>
    <w:rsid w:val="00855638"/>
    <w:rsid w:val="008C6D89"/>
    <w:rsid w:val="0094740D"/>
    <w:rsid w:val="009677AE"/>
    <w:rsid w:val="00975DCD"/>
    <w:rsid w:val="009D1E80"/>
    <w:rsid w:val="009D1EDD"/>
    <w:rsid w:val="00A577BD"/>
    <w:rsid w:val="00A676FB"/>
    <w:rsid w:val="00AB6F54"/>
    <w:rsid w:val="00AF4EB8"/>
    <w:rsid w:val="00BE5A2F"/>
    <w:rsid w:val="00CF2402"/>
    <w:rsid w:val="00D65316"/>
    <w:rsid w:val="00D90A89"/>
    <w:rsid w:val="00FD4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6C2D"/>
  <w15:chartTrackingRefBased/>
  <w15:docId w15:val="{1986119D-517F-4642-967C-5D7D4061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0A89"/>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768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6810"/>
    <w:rPr>
      <w:sz w:val="20"/>
      <w:szCs w:val="20"/>
      <w:lang w:val="es-SV"/>
    </w:rPr>
  </w:style>
  <w:style w:type="character" w:styleId="Refdenotaalpie">
    <w:name w:val="footnote reference"/>
    <w:basedOn w:val="Fuentedeprrafopredeter"/>
    <w:uiPriority w:val="99"/>
    <w:semiHidden/>
    <w:unhideWhenUsed/>
    <w:rsid w:val="00176810"/>
    <w:rPr>
      <w:vertAlign w:val="superscript"/>
    </w:rPr>
  </w:style>
  <w:style w:type="paragraph" w:styleId="Prrafodelista">
    <w:name w:val="List Paragraph"/>
    <w:basedOn w:val="Normal"/>
    <w:uiPriority w:val="34"/>
    <w:qFormat/>
    <w:rsid w:val="00176810"/>
    <w:pPr>
      <w:spacing w:after="200" w:line="276" w:lineRule="auto"/>
      <w:ind w:left="720"/>
      <w:contextualSpacing/>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D914D-59DB-4E7A-8D76-DA3FD62B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2020-04-13T00:58:00Z</cp:lastPrinted>
  <dcterms:created xsi:type="dcterms:W3CDTF">2020-04-20T13:18:00Z</dcterms:created>
  <dcterms:modified xsi:type="dcterms:W3CDTF">2020-04-20T13:18:00Z</dcterms:modified>
</cp:coreProperties>
</file>