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FF" w:rsidRPr="001279FF" w:rsidRDefault="001279FF" w:rsidP="001279FF">
      <w:pPr>
        <w:shd w:val="clear" w:color="auto" w:fill="F5E9DE"/>
        <w:spacing w:after="300" w:line="630" w:lineRule="atLeast"/>
        <w:textAlignment w:val="baseline"/>
        <w:outlineLvl w:val="0"/>
        <w:rPr>
          <w:rFonts w:ascii="Judson" w:eastAsia="Times New Roman" w:hAnsi="Judson" w:cs="Times New Roman"/>
          <w:b/>
          <w:bCs/>
          <w:color w:val="333333"/>
          <w:spacing w:val="-15"/>
          <w:kern w:val="36"/>
          <w:sz w:val="63"/>
          <w:szCs w:val="63"/>
          <w:lang w:val="es-UY" w:eastAsia="es-UY"/>
        </w:rPr>
      </w:pPr>
      <w:r w:rsidRPr="001279FF">
        <w:rPr>
          <w:rFonts w:ascii="Judson" w:eastAsia="Times New Roman" w:hAnsi="Judson" w:cs="Times New Roman"/>
          <w:b/>
          <w:bCs/>
          <w:color w:val="333333"/>
          <w:spacing w:val="-15"/>
          <w:kern w:val="36"/>
          <w:sz w:val="63"/>
          <w:szCs w:val="63"/>
          <w:lang w:val="es-UY" w:eastAsia="es-UY"/>
        </w:rPr>
        <w:t>Bosques amazónicos bajo propiedad indígena apenas sufren deforestación</w:t>
      </w:r>
    </w:p>
    <w:p w:rsidR="001279FF" w:rsidRPr="001279FF" w:rsidRDefault="001279FF" w:rsidP="001279FF">
      <w:pPr>
        <w:shd w:val="clear" w:color="auto" w:fill="F5E9DE"/>
        <w:spacing w:after="300" w:line="240" w:lineRule="auto"/>
        <w:textAlignment w:val="baseline"/>
        <w:outlineLvl w:val="1"/>
        <w:rPr>
          <w:rFonts w:ascii="Judson" w:eastAsia="Times New Roman" w:hAnsi="Judson" w:cs="Times New Roman"/>
          <w:b/>
          <w:bCs/>
          <w:color w:val="333333"/>
          <w:sz w:val="36"/>
          <w:szCs w:val="36"/>
          <w:lang w:val="es-UY" w:eastAsia="es-UY"/>
        </w:rPr>
      </w:pPr>
      <w:r w:rsidRPr="001279FF">
        <w:rPr>
          <w:rFonts w:ascii="Judson" w:eastAsia="Times New Roman" w:hAnsi="Judson" w:cs="Times New Roman"/>
          <w:b/>
          <w:bCs/>
          <w:color w:val="333333"/>
          <w:sz w:val="36"/>
          <w:szCs w:val="36"/>
          <w:lang w:val="es-UY" w:eastAsia="es-UY"/>
        </w:rPr>
        <w:t>El reporte a cargo de dos especialistas del Instituto del Bien Común abarca 15 años (2001-2015) de deforestación en 1,351 comunidades nativas. En ese plazo Perú perdió 1.9 millones de hectáreas de bosques amazónicos, de las que solo el 17% se dio dentro de las comunidades nativas con derecho sobre sus tierras.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Judson" w:eastAsia="Times New Roman" w:hAnsi="Judson" w:cs="Times New Roman"/>
          <w:color w:val="333333"/>
          <w:sz w:val="24"/>
          <w:szCs w:val="24"/>
          <w:lang w:val="es-UY" w:eastAsia="es-UY"/>
        </w:rPr>
      </w:pPr>
      <w:r w:rsidRPr="001279FF">
        <w:rPr>
          <w:rFonts w:ascii="Judson" w:eastAsia="Times New Roman" w:hAnsi="Judson" w:cs="Times New Roman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5B45A587" wp14:editId="12614642">
            <wp:extent cx="5524500" cy="3143250"/>
            <wp:effectExtent l="0" t="0" r="0" b="0"/>
            <wp:docPr id="1" name="Imagen 1" descr="Se trata de un porcentaje menor al 19% de los 70.4 millones de hectáreas de bosques que en el 2001 estaban en poder de asentamientos indígenas. (Foto: El Comerci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trata de un porcentaje menor al 19% de los 70.4 millones de hectáreas de bosques que en el 2001 estaban en poder de asentamientos indígenas. (Foto: El Comerci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9FF">
        <w:rPr>
          <w:rFonts w:ascii="Judson" w:eastAsia="Times New Roman" w:hAnsi="Judson" w:cs="Times New Roman"/>
          <w:color w:val="333333"/>
          <w:sz w:val="24"/>
          <w:szCs w:val="24"/>
          <w:lang w:val="es-UY" w:eastAsia="es-UY"/>
        </w:rPr>
        <w:t>Se trata de un porcentaje menor al 19% de los 70.4 millones de hectáreas de bosques que en el 2001 estaban en poder de asentamientos indígenas. (Foto: El Comercio)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Judson" w:eastAsia="Times New Roman" w:hAnsi="Judson" w:cs="Times New Roman"/>
          <w:color w:val="333333"/>
          <w:sz w:val="24"/>
          <w:szCs w:val="24"/>
          <w:lang w:val="es-UY" w:eastAsia="es-UY"/>
        </w:rPr>
      </w:pPr>
      <w:hyperlink r:id="rId6" w:history="1">
        <w:r w:rsidRPr="001279FF">
          <w:rPr>
            <w:rFonts w:ascii="Judson" w:eastAsia="Times New Roman" w:hAnsi="Judson" w:cs="Times New Roman"/>
            <w:b/>
            <w:bCs/>
            <w:color w:val="8F071F"/>
            <w:sz w:val="29"/>
            <w:szCs w:val="29"/>
            <w:u w:val="single"/>
            <w:bdr w:val="none" w:sz="0" w:space="0" w:color="auto" w:frame="1"/>
            <w:lang w:val="es-UY" w:eastAsia="es-UY"/>
          </w:rPr>
          <w:t>Agencia EFE</w:t>
        </w:r>
      </w:hyperlink>
    </w:p>
    <w:p w:rsidR="001279FF" w:rsidRPr="001279FF" w:rsidRDefault="001279FF" w:rsidP="001279FF">
      <w:pPr>
        <w:shd w:val="clear" w:color="auto" w:fill="F5E9DE"/>
        <w:spacing w:line="240" w:lineRule="auto"/>
        <w:textAlignment w:val="baseline"/>
        <w:rPr>
          <w:rFonts w:ascii="Arial" w:eastAsia="Times New Roman" w:hAnsi="Arial" w:cs="Arial"/>
          <w:color w:val="8A8A8A"/>
          <w:sz w:val="17"/>
          <w:szCs w:val="17"/>
          <w:lang w:val="es-UY" w:eastAsia="es-UY"/>
        </w:rPr>
      </w:pPr>
      <w:r w:rsidRPr="001279FF">
        <w:rPr>
          <w:rFonts w:ascii="Arial" w:eastAsia="Times New Roman" w:hAnsi="Arial" w:cs="Arial"/>
          <w:color w:val="8A8A8A"/>
          <w:sz w:val="17"/>
          <w:szCs w:val="17"/>
          <w:lang w:val="es-UY" w:eastAsia="es-UY"/>
        </w:rPr>
        <w:t>Actualizado el 22/06/2020 a las 15:38</w:t>
      </w:r>
    </w:p>
    <w:p w:rsidR="001279FF" w:rsidRPr="001279FF" w:rsidRDefault="001279FF" w:rsidP="001279FF">
      <w:pPr>
        <w:numPr>
          <w:ilvl w:val="0"/>
          <w:numId w:val="1"/>
        </w:numPr>
        <w:shd w:val="clear" w:color="auto" w:fill="F5E9DE"/>
        <w:spacing w:after="0" w:line="240" w:lineRule="auto"/>
        <w:ind w:left="0"/>
        <w:textAlignment w:val="baseline"/>
        <w:rPr>
          <w:rFonts w:ascii="Roboto" w:eastAsia="Times New Roman" w:hAnsi="Roboto" w:cs="Times New Roman"/>
          <w:color w:val="333333"/>
          <w:sz w:val="30"/>
          <w:szCs w:val="30"/>
          <w:lang w:val="es-UY" w:eastAsia="es-UY"/>
        </w:rPr>
      </w:pP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 xml:space="preserve">Un nuevo estudio desmintió que las comunidades indígenas sean grandes </w:t>
      </w:r>
      <w:proofErr w:type="spellStart"/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>deforestadoras</w:t>
      </w:r>
      <w:proofErr w:type="spellEnd"/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 xml:space="preserve"> de la Amazonía peruana, al confirmar que los asentamientos de ese segmento de la población que poseen la propiedad </w:t>
      </w: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lastRenderedPageBreak/>
        <w:t>sobre los bosques presentan una pérdida de los mismos mucho menor al promedio nacional.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La investigación, impulsada por el </w:t>
      </w: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>Instituto del Bien Común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 (</w:t>
      </w: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>IBC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) con el apoyo de la Cooperación Alemana para el Desarrollo en el marco del proyecto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ProTierras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Comunales, ratifica los resultados de otros informes similares del 2014 donde se probaba que los territorios indígenas actúan como barreras contra la deforestación.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El reporte a cargo de los especialistas del </w:t>
      </w: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>IBC 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u w:val="single"/>
          <w:bdr w:val="none" w:sz="0" w:space="0" w:color="auto" w:frame="1"/>
          <w:lang w:val="es-UY" w:eastAsia="es-UY"/>
        </w:rPr>
        <w:t xml:space="preserve">Sandra Ríos y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u w:val="single"/>
          <w:bdr w:val="none" w:sz="0" w:space="0" w:color="auto" w:frame="1"/>
          <w:lang w:val="es-UY" w:eastAsia="es-UY"/>
        </w:rPr>
        <w:t>Ermeto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u w:val="single"/>
          <w:bdr w:val="none" w:sz="0" w:space="0" w:color="auto" w:frame="1"/>
          <w:lang w:val="es-UY" w:eastAsia="es-UY"/>
        </w:rPr>
        <w:t xml:space="preserve"> Tuesta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 abarca 15 años (2001-2015) de deforestación en 1,351 comunidades nativas.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En ese plazo </w:t>
      </w:r>
      <w:r w:rsidRPr="001279FF">
        <w:rPr>
          <w:rFonts w:ascii="Georgia" w:eastAsia="Times New Roman" w:hAnsi="Georgia" w:cs="Times New Roman"/>
          <w:b/>
          <w:bCs/>
          <w:color w:val="333333"/>
          <w:sz w:val="30"/>
          <w:szCs w:val="30"/>
          <w:bdr w:val="none" w:sz="0" w:space="0" w:color="auto" w:frame="1"/>
          <w:lang w:val="es-UY" w:eastAsia="es-UY"/>
        </w:rPr>
        <w:t>Perú 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perdió 1.9 millones de hectáreas de bosques amazónicos, de las que solo el 17% se dio dentro de las comunidades nativas con derecho sobre sus tierras. Se trata de un porcentaje menor al 19% de los 70.4 millones de hectáreas de bosques que en el 2001 estaban en poder de asentamientos indígenas.</w:t>
      </w:r>
    </w:p>
    <w:p w:rsidR="001279FF" w:rsidRPr="001279FF" w:rsidRDefault="001279FF" w:rsidP="001279FF">
      <w:pPr>
        <w:shd w:val="clear" w:color="auto" w:fill="F5E9DE"/>
        <w:spacing w:before="300" w:after="300" w:line="240" w:lineRule="auto"/>
        <w:textAlignment w:val="baseline"/>
        <w:outlineLvl w:val="1"/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</w:pPr>
      <w:r w:rsidRPr="001279FF"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  <w:t>Deforestación baja y sostenible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Esto significa que el promedio anual de deforestación de las comunidades nativas entre el 2001 y 2015 fue de 22,247 hectáreas, mientras que fuera de ellas fue de 128,858 hectáreas, incluidas las áreas naturales protegidas.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Esa tasa de deforestación arroja un promedio per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capita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de 0.86 hectáreas por cada indígena que habita en las comunidades nativas, lo que para los autores del informe “</w:t>
      </w:r>
      <w:r w:rsidRPr="001279FF">
        <w:rPr>
          <w:rFonts w:ascii="Georgia" w:eastAsia="Times New Roman" w:hAnsi="Georgia" w:cs="Times New Roman"/>
          <w:i/>
          <w:iCs/>
          <w:color w:val="333333"/>
          <w:sz w:val="30"/>
          <w:szCs w:val="30"/>
          <w:bdr w:val="none" w:sz="0" w:space="0" w:color="auto" w:frame="1"/>
          <w:lang w:val="es-UY" w:eastAsia="es-UY"/>
        </w:rPr>
        <w:t>puede ser considerado bajo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”.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El reporte recordó que las comunidades nativas no están exentas de la intervención humana de sus propios habitantes y, por lo tanto, de una deforestación mínima y sostenible como parte de un sistema de roza y quema para establecer sus cultivos.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Así, el 89% de las 1,351 comunidades nativas estudiadas presenta una deforestación por debajo de las 500 hectáreas a lo largo de esos 15 años, y en el 45% esa pérdida es incluso menor a 100 hectáreas.</w:t>
      </w:r>
    </w:p>
    <w:p w:rsidR="001279FF" w:rsidRPr="001279FF" w:rsidRDefault="001279FF" w:rsidP="001279FF">
      <w:pPr>
        <w:shd w:val="clear" w:color="auto" w:fill="F5E9DE"/>
        <w:spacing w:before="300" w:after="300" w:line="240" w:lineRule="auto"/>
        <w:textAlignment w:val="baseline"/>
        <w:outlineLvl w:val="1"/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</w:pPr>
      <w:r w:rsidRPr="001279FF"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  <w:t>Casos excepcionales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Sólo 15 comunidades presentan una deforestación mayor a las 2,000 hectáreas y los motivos varían en función del lugar, pero la mayoría tiene en común la presión de alguna actividad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deforestadora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como puede ser la agricultura migratoria o extensiva, la tala ilegal, los cultivos ilícitos de hoja de coca o la minería ilegal.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Apenas dos comunidades registran una deforestación mayor a las 6,000 hectáreas. Ambas son de etnia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awajún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y se encuentran en la región de San Martín, la zona amazónica de Perú con más superficie deforestada con relación a su territorio a causa del avance de plantaciones agrícolas como café, plátano y arroz.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Una es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Huascayacu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, con casi 7,600 hectáreas deforestadas que representaban el 78% de sus bosques; y la otra es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Shampuyacu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, con más de 6,800 hectáreas perdidas, que son el 86% del área boscosa que tenía en el 2000.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Ellas encabezan el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ránking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de comunidades con más extensión de bosque perdida. La causa es la tardanza para otorgar el título a la comunidad, lo que provocó que sus territorios fueran invadidos por gente migrada de los Andes que les ofrecieron alquilar sus tierras para la agricultura, lo que los nativos aceptaron con presiones.</w:t>
      </w:r>
    </w:p>
    <w:p w:rsidR="001279FF" w:rsidRPr="001279FF" w:rsidRDefault="001279FF" w:rsidP="001279FF">
      <w:pPr>
        <w:shd w:val="clear" w:color="auto" w:fill="F5E9DE"/>
        <w:spacing w:before="300" w:after="300" w:line="240" w:lineRule="auto"/>
        <w:textAlignment w:val="baseline"/>
        <w:outlineLvl w:val="1"/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</w:pPr>
      <w:r w:rsidRPr="001279FF"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  <w:t>No es una cuestión étnica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La investigación descartó el factor étnico como un agente de deforestación, pues hay otros asentamientos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awajún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que también encabezan el ranking de las comunidades menos deforestadas, como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Shacham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 xml:space="preserve"> </w:t>
      </w:r>
      <w:proofErr w:type="spellStart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Entsa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, en la región de Amazonas, que no perdió ni un metro cuadrado de sus bosques.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En ese sentido, el reporte estableció una relación entre la densidad de población de las comunidades nativas y la superficie deforestada.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El promedio de hectáreas de bosque por habitante de comunidades nativas en Perú es de 32 hectáreas, y los investigadores encontraron que la deforestación es mayor en aquellas comunidades donde el espacio de bosque para cada indígena es menor a ese promedio.</w:t>
      </w:r>
    </w:p>
    <w:p w:rsidR="001279FF" w:rsidRPr="001279FF" w:rsidRDefault="001279FF" w:rsidP="001279FF">
      <w:pPr>
        <w:shd w:val="clear" w:color="auto" w:fill="F5E9DE"/>
        <w:spacing w:before="300" w:after="300" w:line="240" w:lineRule="auto"/>
        <w:textAlignment w:val="baseline"/>
        <w:outlineLvl w:val="1"/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</w:pPr>
      <w:r w:rsidRPr="001279FF">
        <w:rPr>
          <w:rFonts w:ascii="Judson" w:eastAsia="Times New Roman" w:hAnsi="Judson" w:cs="Times New Roman"/>
          <w:color w:val="333333"/>
          <w:sz w:val="43"/>
          <w:szCs w:val="43"/>
          <w:lang w:val="es-UY" w:eastAsia="es-UY"/>
        </w:rPr>
        <w:t>Menos hectáreas, más deforestación</w:t>
      </w:r>
    </w:p>
    <w:p w:rsidR="001279FF" w:rsidRPr="001279FF" w:rsidRDefault="001279FF" w:rsidP="001279FF">
      <w:pPr>
        <w:shd w:val="clear" w:color="auto" w:fill="F5E9DE"/>
        <w:spacing w:before="300" w:after="375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Todas las comunidades con una deforestación de más de 5% de su área tienen menos de 10 hectáreas de bosque disponibles por habitante.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“</w:t>
      </w:r>
      <w:r w:rsidRPr="001279FF">
        <w:rPr>
          <w:rFonts w:ascii="Georgia" w:eastAsia="Times New Roman" w:hAnsi="Georgia" w:cs="Times New Roman"/>
          <w:i/>
          <w:iCs/>
          <w:color w:val="333333"/>
          <w:sz w:val="30"/>
          <w:szCs w:val="30"/>
          <w:bdr w:val="none" w:sz="0" w:space="0" w:color="auto" w:frame="1"/>
          <w:lang w:val="es-UY" w:eastAsia="es-UY"/>
        </w:rPr>
        <w:t>No se han evaluado variables como el estado del bosque y los recursos y servicios que brindan a los indígenas para sus necesidades básicas y para una buena calidad de vida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”, apuntó a Efe Sandra Ríos, autora del informe.</w:t>
      </w:r>
    </w:p>
    <w:p w:rsidR="001279FF" w:rsidRPr="001279FF" w:rsidRDefault="001279FF" w:rsidP="001279FF">
      <w:pPr>
        <w:shd w:val="clear" w:color="auto" w:fill="F5E9DE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</w:pP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Con ello, la investigación concluyó que hay muy pocas comunidades indígenas que se puedan calificar de “</w:t>
      </w:r>
      <w:proofErr w:type="spellStart"/>
      <w:r w:rsidRPr="001279FF">
        <w:rPr>
          <w:rFonts w:ascii="Georgia" w:eastAsia="Times New Roman" w:hAnsi="Georgia" w:cs="Times New Roman"/>
          <w:i/>
          <w:iCs/>
          <w:color w:val="333333"/>
          <w:sz w:val="30"/>
          <w:szCs w:val="30"/>
          <w:bdr w:val="none" w:sz="0" w:space="0" w:color="auto" w:frame="1"/>
          <w:lang w:val="es-UY" w:eastAsia="es-UY"/>
        </w:rPr>
        <w:t>deforestadoras</w:t>
      </w:r>
      <w:proofErr w:type="spellEnd"/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” porque “</w:t>
      </w:r>
      <w:r w:rsidRPr="001279FF">
        <w:rPr>
          <w:rFonts w:ascii="Georgia" w:eastAsia="Times New Roman" w:hAnsi="Georgia" w:cs="Times New Roman"/>
          <w:i/>
          <w:iCs/>
          <w:color w:val="333333"/>
          <w:sz w:val="30"/>
          <w:szCs w:val="30"/>
          <w:bdr w:val="none" w:sz="0" w:space="0" w:color="auto" w:frame="1"/>
          <w:lang w:val="es-UY" w:eastAsia="es-UY"/>
        </w:rPr>
        <w:t>la gran mayoría ha logrado mantener su bosque en los 15 años estudiados, a pesar de presiones externas e internas</w:t>
      </w:r>
      <w:r w:rsidRPr="001279FF">
        <w:rPr>
          <w:rFonts w:ascii="Georgia" w:eastAsia="Times New Roman" w:hAnsi="Georgia" w:cs="Times New Roman"/>
          <w:color w:val="333333"/>
          <w:sz w:val="30"/>
          <w:szCs w:val="30"/>
          <w:lang w:val="es-UY" w:eastAsia="es-UY"/>
        </w:rPr>
        <w:t>”.</w:t>
      </w:r>
    </w:p>
    <w:p w:rsidR="001279FF" w:rsidRDefault="001279FF"/>
    <w:bookmarkStart w:id="0" w:name="_GoBack"/>
    <w:bookmarkEnd w:id="0"/>
    <w:p w:rsidR="002E2F5B" w:rsidRDefault="006B0BE1">
      <w:r>
        <w:fldChar w:fldCharType="begin"/>
      </w:r>
      <w:r>
        <w:instrText xml:space="preserve"> HYPERLINK "</w:instrText>
      </w:r>
      <w:r w:rsidRPr="006B0BE1">
        <w:instrText>https://gestion.pe/mundo/bosques-amazonicos-bajo-propiedad-indigena-apenas-sufren-deforestacion-noticia/</w:instrText>
      </w:r>
      <w:r>
        <w:instrText xml:space="preserve">" </w:instrText>
      </w:r>
      <w:r>
        <w:fldChar w:fldCharType="separate"/>
      </w:r>
      <w:r w:rsidRPr="005E5B59">
        <w:rPr>
          <w:rStyle w:val="Hipervnculo"/>
        </w:rPr>
        <w:t>https://gestion.pe/mundo/bosques-amazonicos-bajo-propiedad-indigena-apenas-sufren-deforestacion-noticia/</w:t>
      </w:r>
      <w:r>
        <w:fldChar w:fldCharType="end"/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udso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791"/>
    <w:multiLevelType w:val="multilevel"/>
    <w:tmpl w:val="FE6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FF"/>
    <w:rsid w:val="001279FF"/>
    <w:rsid w:val="002E2F5B"/>
    <w:rsid w:val="006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BE0B"/>
  <w15:chartTrackingRefBased/>
  <w15:docId w15:val="{9F51F98F-AB87-481B-BFD9-D8B4B1C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79F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7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695">
                      <w:marLeft w:val="0"/>
                      <w:marRight w:val="-7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stion.pe/autor/agencia-ef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Bosques amazónicos bajo propiedad indígena apenas sufren deforestación</vt:lpstr>
      <vt:lpstr>    El reporte a cargo de dos especialistas del Instituto del Bien Común abarca 15 a</vt:lpstr>
      <vt:lpstr>    Deforestación baja y sostenible</vt:lpstr>
      <vt:lpstr>    Casos excepcionales</vt:lpstr>
      <vt:lpstr>    No es una cuestión étnica</vt:lpstr>
      <vt:lpstr>    Menos hectáreas, más deforestación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2020-07-08T14:11:00Z</dcterms:created>
  <dcterms:modified xsi:type="dcterms:W3CDTF">2020-07-08T14:11:00Z</dcterms:modified>
</cp:coreProperties>
</file>