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37F" w:rsidRPr="009F137F" w:rsidRDefault="009F137F" w:rsidP="009F137F">
      <w:pPr>
        <w:spacing w:after="0" w:line="240" w:lineRule="auto"/>
        <w:jc w:val="center"/>
        <w:rPr>
          <w:rFonts w:ascii="Helvetica" w:eastAsia="Times New Roman" w:hAnsi="Helvetica" w:cs="Helvetica"/>
          <w:color w:val="00B050"/>
          <w:sz w:val="36"/>
          <w:szCs w:val="36"/>
          <w:lang w:val="es-UY" w:eastAsia="es-UY"/>
        </w:rPr>
      </w:pPr>
      <w:bookmarkStart w:id="0" w:name="_GoBack"/>
      <w:r w:rsidRPr="009F137F">
        <w:rPr>
          <w:rFonts w:ascii="Helvetica" w:eastAsia="Times New Roman" w:hAnsi="Helvetica" w:cs="Helvetica"/>
          <w:b/>
          <w:bCs/>
          <w:color w:val="00B050"/>
          <w:sz w:val="36"/>
          <w:szCs w:val="36"/>
          <w:lang w:val="es-UY" w:eastAsia="es-UY"/>
        </w:rPr>
        <w:t xml:space="preserve">O </w:t>
      </w:r>
      <w:proofErr w:type="spellStart"/>
      <w:r w:rsidRPr="009F137F">
        <w:rPr>
          <w:rFonts w:ascii="Helvetica" w:eastAsia="Times New Roman" w:hAnsi="Helvetica" w:cs="Helvetica"/>
          <w:b/>
          <w:bCs/>
          <w:color w:val="00B050"/>
          <w:sz w:val="36"/>
          <w:szCs w:val="36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b/>
          <w:bCs/>
          <w:color w:val="00B050"/>
          <w:sz w:val="36"/>
          <w:szCs w:val="36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b/>
          <w:bCs/>
          <w:color w:val="00B050"/>
          <w:sz w:val="36"/>
          <w:szCs w:val="36"/>
          <w:lang w:val="es-UY" w:eastAsia="es-UY"/>
        </w:rPr>
        <w:t>otimista</w:t>
      </w:r>
      <w:proofErr w:type="spellEnd"/>
      <w:r w:rsidRPr="009F137F">
        <w:rPr>
          <w:rFonts w:ascii="Helvetica" w:eastAsia="Times New Roman" w:hAnsi="Helvetica" w:cs="Helvetica"/>
          <w:b/>
          <w:bCs/>
          <w:color w:val="00B050"/>
          <w:sz w:val="36"/>
          <w:szCs w:val="36"/>
          <w:lang w:val="es-UY" w:eastAsia="es-UY"/>
        </w:rPr>
        <w:t xml:space="preserve"> de Helder </w:t>
      </w:r>
      <w:proofErr w:type="spellStart"/>
      <w:r w:rsidRPr="009F137F">
        <w:rPr>
          <w:rFonts w:ascii="Helvetica" w:eastAsia="Times New Roman" w:hAnsi="Helvetica" w:cs="Helvetica"/>
          <w:b/>
          <w:bCs/>
          <w:color w:val="00B050"/>
          <w:sz w:val="36"/>
          <w:szCs w:val="36"/>
          <w:lang w:val="es-UY" w:eastAsia="es-UY"/>
        </w:rPr>
        <w:t>Camara</w:t>
      </w:r>
      <w:proofErr w:type="spellEnd"/>
      <w:r w:rsidRPr="009F137F">
        <w:rPr>
          <w:rFonts w:ascii="Helvetica" w:eastAsia="Times New Roman" w:hAnsi="Helvetica" w:cs="Helvetica"/>
          <w:b/>
          <w:bCs/>
          <w:color w:val="00B050"/>
          <w:sz w:val="36"/>
          <w:szCs w:val="36"/>
          <w:lang w:val="es-UY" w:eastAsia="es-UY"/>
        </w:rPr>
        <w:t>.</w:t>
      </w:r>
    </w:p>
    <w:bookmarkEnd w:id="0"/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Eduardo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Hoornaert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Em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Carta Circular de 7-8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março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1964, Helder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Camara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escreve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seguintes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versos: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otimista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Me parece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maneira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sólida 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cristã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De ser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otimista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(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Volume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I, Tomo I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publicação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das Cartas pelo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Cepe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, Recife, p. 411).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O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significam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essas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palavras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?</w:t>
      </w:r>
      <w:proofErr w:type="gram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1.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lê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texto corrido das Cartas de Helder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Camara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só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encontra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textos animadores </w:t>
      </w: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</w:t>
      </w:r>
      <w:proofErr w:type="gram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motivadores,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dá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mesmo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os poemas inseridas em ditas Cartas. Ali,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raramente, aparece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Helder irrequieto, angustiado </w:t>
      </w: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</w:t>
      </w:r>
      <w:proofErr w:type="gram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mesmo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pessimista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  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Uns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meses antes dos versos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acima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citados, em final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outubro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1963, ele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escreve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: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Se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sombra de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angústia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Me visita de repente,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É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passar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nas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terras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secas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Nos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desertos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Onde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poço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no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oásis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É 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sonho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Dos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homens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e dos camelos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Tantas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vezes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seduzidos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Pelas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miragens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(Carta Circular 21-22/10/1963, I, I, pp. 220-221).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pouco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depois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escrever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sobre o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otimista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ele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Deus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ofender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sentimentos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negativos: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Tu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te ofendes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Se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eu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Te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disser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Que o mundo surge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aos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meus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olhos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Informe,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Dolorido,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gram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Inacabado?</w:t>
      </w:r>
      <w:proofErr w:type="gram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(Carta Circular 3-4/04/1964, I, I, p. 390).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início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1965, preparando-se a viajar a Roma para a última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Sessão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Concílio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Vaticano II, Helder se premune: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Há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instantes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lastRenderedPageBreak/>
        <w:t xml:space="preserve">Em que os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ouvidos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Devem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estar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Juntinho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dos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olhos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Há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instantes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Em que os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olhos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Devem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estar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Distantes,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muito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distantes,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Dos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ouvidos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(Carta Circular 1-2/03/1965, II, II, p. 236).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Como se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fosse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aguilhão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ele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mesquinhez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o medo,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reticência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enfim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sentimentos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ele espera encontrar em Roma. Ele procura se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livrar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alçapão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traiçoeiro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: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Quando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livra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pássaro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Do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alçapão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traiçoeiro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Em que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caiu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Ele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sai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espantado,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Assustadiço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,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Mas incólume </w:t>
      </w:r>
      <w:proofErr w:type="gram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</w:t>
      </w:r>
      <w:proofErr w:type="gram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feliz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(ibidem, p. 237).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Pássaro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incólume </w:t>
      </w:r>
      <w:proofErr w:type="gram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</w:t>
      </w:r>
      <w:proofErr w:type="gram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feliz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ele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encontra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no final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Concílio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oportunidade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extravasar o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assembleia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mundial de bispos,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já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dura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quatro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anos.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oferece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inesperadamente,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oportunidade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é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próprio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amigo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pt-PT" w:eastAsia="es-UY"/>
        </w:rPr>
        <w:t>Papa Paulo VI. Em meados de 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novembro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1965,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poucos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antes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solene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encerramento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concílio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ele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Bispo brasileiro  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sugestões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para as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cerimônias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finais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Helder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empenha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-se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tanto afinco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tarefa de preparar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sugestões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tempo para participar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assinatura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Pacto das Catacumbas,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qual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principais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arquitetos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16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novembro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os amigos do Grupo da Pobreza.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Cobertas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pelos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efusivos protestos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atendimento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filial 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Papa, as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Sugestões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para 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Encerramento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Concílio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realidade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‘obra de malandro’,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paródia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expressão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irônica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 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afeta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Helder.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Ele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propõe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o Papa se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disponha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série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 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diálogos, preces,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encontros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, 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longo dos </w:t>
      </w: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sete últimos</w:t>
      </w:r>
      <w:proofErr w:type="gram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Concílio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seja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entre 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2 e 8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dezembro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1965. O programa se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iniciaria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2, por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Diálogo do Santo Padre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grupo de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Ateus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, em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homenagem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a todos os que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têm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fome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e sede de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verdade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, 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Biblioteca do Vaticano; 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seguinte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Prece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ecumênica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os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Hinduístas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Pinacoteca do Vaticano; 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4, 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Prece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ecumênica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os Budistas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 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Museu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Vaticano; 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5, 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Encontro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inesquecível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, que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dê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oportunidades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excepcionais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Espírito Santo, em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Sala dominada pela figura de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Abraão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ou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Virgem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(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aqui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talvez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encontro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muçulmanos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pela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alusão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à 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figura de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Abraão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); 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6, 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Prece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ecumênica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os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Judeus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Antiga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Sinagoga de Roma, transformada em Igreja católica,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ou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em Sala dominada pela figura de Moisés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; 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7, 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Vigília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Bíblica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os Observadores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católicos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,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Basílica de São Pedro;  finalmente, 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8, Santo Padre,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daríeis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permissão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para que,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sob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Vossa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autoridade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convosco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, 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Concílio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canonizasse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publicamente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, o Papa João XXIII,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Praça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de São Pedro?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(Carta Conciliar 6-7/11/1965, I, III, pp. 215-216).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Pura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paródia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: Helder declara -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menos - que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Concílio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falhou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conseguiu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acenar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pertence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âmago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cristianismo: o amor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acima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quaisquer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clausuras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divisões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papa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abraça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ateus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hinduístas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budistas, islamitas,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judeus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-católicos nada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faz que seguir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ensinamento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Mas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isso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impossível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Roma 1965.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Daí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 de Helder. Ele sabe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perfeitamente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o Papa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vai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fazer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nada do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sugere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: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sei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que o Santo Padre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vai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poder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fazer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nada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disso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. Mas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sinto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necessidade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apresentar-lhe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estas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sugestões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que, no íntimo, ele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gostará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receber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(ibidem. p. 215)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.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O Papa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gostaria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seguir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consegue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Melhor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ir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circo: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hoje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-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espantem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- pretendo,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às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16 horas, ver o Circo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Orfeu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. Preciso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mergulhar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no mundo das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crianças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: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elas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acreditam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no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impossível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. 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disso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se trata: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propor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impossível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E é continuando a insistir 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impossível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Helder,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teimoso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ainda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acrescenta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: </w:t>
      </w:r>
      <w:proofErr w:type="gram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Talvez</w:t>
      </w:r>
      <w:proofErr w:type="gram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, Santo Padre, o discurso de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encerramento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seja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a hora providencial para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dizer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que,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permanecendo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amigo de todos os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povos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e justamente para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sê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-lo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sempre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mais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pensais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em despedir-vos do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Corpo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Diplomático e em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trazer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de volta os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Vossos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Núncios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(ibidem, p 215).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então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termina se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desculpando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pela franqueza: 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Santo Padre, a única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escusa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para esta Carta é reafirmar que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ela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é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gesto de puro amor.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Muito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filialmente em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Cristo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(ibidem, p. 216).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O texto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vai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imbuído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 mesmo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assim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há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vislumbre de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otimismo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alusão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fato que o Papa,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 no íntimo,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gostará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receber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as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sugestões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intrometido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Bispo Auxiliar do Rio de Janeiro (ibidem, p. 215)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.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só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assembleia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bispos que entristece Helder. É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também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 </w:t>
      </w: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talvez</w:t>
      </w:r>
      <w:proofErr w:type="gram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modo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angustiante,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situação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que vive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maioria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população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Recife,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cidade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à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qual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enviado como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Arcebispo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1964: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gram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Ah!</w:t>
      </w:r>
      <w:proofErr w:type="gram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Como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são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tristes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meus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dedos,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Arrancarão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, instintivamente, do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violão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,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Canções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magoadas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Modelarão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argila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Bonecos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severinos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(do poema ‘Vida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morte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severina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’, do poeta pernambucano Cabral de Melo)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De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olhares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angustiados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sorrisos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tristes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(Carta 22-23/3/1966, III, I, p. 155).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O Bispo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vai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assistir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filme ‘Zorba,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grego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’, e volta entusiasmado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‘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dança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fracasso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 de Antony Quinn.  Mas a chuva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abundante sobre 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mocambos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Recife o angustia: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Chuva,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dá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jeito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De abrir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goteiras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Em todo 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meu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corpo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,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De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gelar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meus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ossos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,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De alagar 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minha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alma.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Mas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deixe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em paz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Os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mocambos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minha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gente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Que precisa descansar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Da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realidade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triste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esquecer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no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sono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fome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impertinente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(Carta 20-21/3/1966, III, I, p. 204),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aguenta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ver tanta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miséria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redor: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Já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aguento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, Pai,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ver tanta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miséria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ouvir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tanto lamento.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Sabes que comida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perde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dia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dia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,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qualquer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interesse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para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quem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carrega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nos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olhos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as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imagens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eu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carrego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,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para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quem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guarda nos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ouvidos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as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vozes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que registro para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sempre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?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(Carta 18.19/2/1965, II, II, p. 193)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2.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desses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acessos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 por parte de Helder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Camara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algumas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figuras paradigmáticas da literatura nos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vêm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à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memória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Se Helder, 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Concílio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canta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qual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pássaro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preso em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gaiola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livra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alçapão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como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então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caracterizar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comportamento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longo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Concílio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Vaticano II?</w:t>
      </w:r>
      <w:proofErr w:type="gram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Imagens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alucinantes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acometem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ver a corte romana em torno do papa, as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procissões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cerimônias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Helder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vê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Imperador Constantino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atravessando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Basílica de São Pedro, o Papa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jogando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Tiara no Rio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Tibre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distribuindo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as riquezas do Vaticano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os pobres de Roma e indo morar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apartamento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pracinhas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cidade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 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É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aqui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emerge a figura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Quixote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Aliás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vale lembrar que </w:t>
      </w: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diversos observadores da</w:t>
      </w:r>
      <w:proofErr w:type="gram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cena conciliar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reparam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sentimentos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diversos, algo ‘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quixotesco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 nos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comportamentos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inciativas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Bispo Auxiliar de Rio de Janeiro.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Quando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Helder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ouve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falar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disso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ele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esquiva,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pelo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contrário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demonstra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gosta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comparação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ponto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escrever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ela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lhe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dá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sentimento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maior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aproximação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Cristo: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Quem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sabe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que 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verdadeiro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Dom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Quixote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se chama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Cristo?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(Carta Circular 1-2/10/1969, IV, IV, p. 135).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Onde reside mesmo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segredo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romance de Cervantes,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conquistou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milhões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pessoas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longo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desses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cinco últimos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séculos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em 2002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escolhido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melhor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obra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ficção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todos os tempos pelo Clube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Norueguês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Livros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conta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admiração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geral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?</w:t>
      </w:r>
      <w:proofErr w:type="gram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Como entender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Quixote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livro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difundido do mundo,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depois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Bíblia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que conta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nada menos de 450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milhões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cópias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impressas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em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cinquenta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línguas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é considerado, por escritores como o argentino Jorge Luís Borges,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patrimônio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humanidade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’?</w:t>
      </w:r>
      <w:proofErr w:type="gram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‘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cavaleiro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triste figura’, que anda desolado pelos campos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Espanha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guarda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alma a amarga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ironia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ver que 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sonhos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lindos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esbarram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dura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realidade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 resiliente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perpassa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alma: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há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lugar para o puro amor, o puro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compromisso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mundo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melhor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sonho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impossível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outro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lado,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opinião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muitos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comentaristas,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segredo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sucesso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Cervantes está no fato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Quixote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apesar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conformar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realidade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redor </w:t>
      </w: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</w:t>
      </w:r>
      <w:proofErr w:type="gram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cultivar -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desse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modo – o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nunca abandona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val="es-UY" w:eastAsia="es-UY"/>
        </w:rPr>
        <w:t xml:space="preserve">supremo </w:t>
      </w:r>
      <w:proofErr w:type="spellStart"/>
      <w:r w:rsidRPr="009F13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val="es-UY" w:eastAsia="es-UY"/>
        </w:rPr>
        <w:t>sorriso</w:t>
      </w:r>
      <w:proofErr w:type="spellEnd"/>
      <w:r w:rsidRPr="009F13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val="es-UY" w:eastAsia="es-UY"/>
        </w:rPr>
        <w:t>, 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refinada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ironia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otimismo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 igualmente resiliente. O romance de Cervantes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constitui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por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conseguinte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excelente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exemplo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otimista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que anima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pessoas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como Helder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Camara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Emerge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também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figura do Príncipe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Michkin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do romance ‘O Idiota’ de Dostoievski. Inadaptado,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ridicularizado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desajeitado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príncipe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fracassado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‘decaído’.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compaixão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limites por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pessoas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indefesas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idiotice.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Enquanto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todos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consideram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ingênuo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ele é capaz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descobrir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intimidade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pessoas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simples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olhar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sociedade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suporta tanta pureza </w:t>
      </w: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</w:t>
      </w:r>
      <w:proofErr w:type="gram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decide que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sanatório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 o lugar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apropriado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para o Príncipe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Michkin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Raskolnikov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, do romance ‘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Crime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Castigo’ (do mesmo escritor)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contracena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Estudante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talentoso, ele se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chamado a colaborar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melhoria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país. Cultiva grandes planos,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dinheiro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para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realizá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-los. Ora, ele vive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pensão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mantida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velha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senhora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agiota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muito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dinheiro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pouca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cabeça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Para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Raskolnikov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ela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pessoa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ordinária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descartável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enquanto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ele é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extraordinário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pode quebrar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regras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estabelecidas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prol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avanço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humano.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Assombrado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imensa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responsabilidade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Raskolnikov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planeja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concretiza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assassinato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velha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agiota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consegue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apropriar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dinheiro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Isso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faz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extraordinário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acima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leis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costumes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sentimentos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afetos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banais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(como amar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neto, por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exemplo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). Ele vive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plano superior,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teme infringir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regras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estabelecidas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contradizer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opiniões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generalizadas.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Enxerga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longe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faz parte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seleto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grupo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sujeitos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capazes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mudar o rumo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nisso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torna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criminoso.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Aí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acontece o inesperado.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própria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consciência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Raskolnikov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passa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insurgir contra ele e o empurra,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inexoravelmente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à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autodestruição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consciência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sufoca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Raskolnikov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esfacela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íntimo, causa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doença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No final do romance, ele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chega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vislumbrar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própria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baixeza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desumanidade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perde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mínimo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senso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respeito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por si mesmo.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única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âncora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salvação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 o amor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mulher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 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três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figuras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literárias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me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vêm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à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memória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aprofundar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nos escritos de Helder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Camara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: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Quixote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Michkin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Raskolnikov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  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dois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primeiros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por vivenciar o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otimista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de Helder, o último vivenciando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otimismo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ilusório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 que leva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crime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seguir impulsos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egocêntricos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poder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glória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3. Podemos cavar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fundo. Em última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instância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, o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otimista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 de Helder remete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figura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apareceu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no palco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das periferias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Império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Romano,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dois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mil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anos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atrás: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Nazaré. Lembro que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próprio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Helder se compara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Quixote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: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Quem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sabe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que 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verdadeiro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Dom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Quixote</w:t>
      </w:r>
      <w:proofErr w:type="spellEnd"/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se chama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Cristo? </w:t>
      </w: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(Carta Circular 1-2/10/1969, IV, IV, p. 135).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Enquanto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Evangelho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Mateus relata que a última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exclamação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cruz,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expressa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profundo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(</w:t>
      </w: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‘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Deus,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Deus,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por que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me abandonaste?</w:t>
      </w:r>
      <w:proofErr w:type="gram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’), 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Evangelho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João (Jo 19, 30), Ele se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mostra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otimista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: ‘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cumpri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missão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 (em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grego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tetelestai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’, do verbo ‘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teleô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’: terminar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tarefa,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cumprir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compromisso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).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quase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aguenta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sofrimento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físico, mas no íntimo da alma está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satisfeito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percurso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realizado. Vivencia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otimista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Difícil exagerar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quando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trata de avaliar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importância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humanidade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Enquanto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antes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dEle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os líderes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expressivos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mundo, como César, Augusto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Xerxes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além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tantos criadores de grandes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impérios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como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assírio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babilônico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egípcio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persa,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grego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romano,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trabalham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vida toda para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humilhar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submeter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escravizar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submeter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(‘Dominare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populos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memento, Roma’),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camponês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Galileia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vivencia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exatamente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contrário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Ele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simplesmente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parte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ideia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bíblica,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já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expressa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primeiro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capítulo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Livro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Gênesis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que </w:t>
      </w: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todas as</w:t>
      </w:r>
      <w:proofErr w:type="gram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pessoas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humanas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criadas ‘segundo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imagem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semelhança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Deus’ e por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conseguinte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merecem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respeito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deve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reinar entre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iguais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ideia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revolucionária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encontra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ordenanças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gravadas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stèlè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Hamurabi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algum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documento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monumento que nos reste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antigo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mundo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clássico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morte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acontecimento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revolucionário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que se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memória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no mundo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ocidental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talvez</w:t>
      </w:r>
      <w:proofErr w:type="gram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no mundo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inteiro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Assassinado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como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inconcebível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crueldade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pregado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cruz, supremo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suplício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desqualifica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definitivamente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pessoa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(segundo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opinião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generalizada da época),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prova que o débil pode se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converter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poderoso por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suprema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humilhação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que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concepção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igualitária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fraterna pode se tornar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realidade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Revolução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estado puro,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matança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‘gen’ darwinista que existe no ser humano,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revolução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contesta de modo frontal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ideia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forte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destrói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fraco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desse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modo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melhora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espécie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humana, como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ensina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certa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ciência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baseada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‘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evolução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espécies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’. A vida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pelo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contrário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demonstra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que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espécie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humana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melhora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quando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forte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curva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diante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fraco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lhe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dá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bom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samaritano.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Aqui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a rigor,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não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se trata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fé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religião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princípios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éticos. O cristianismo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bem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entendido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constitui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transformação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importante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consciência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humana no decurso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ocidental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(</w:t>
      </w:r>
      <w:proofErr w:type="gram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talvez</w:t>
      </w:r>
      <w:proofErr w:type="gram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geral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).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que,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vinte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anos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após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morte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entende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fariseu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Paulo de Tarso,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quando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solta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o grito:  ‘Ele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ressuscitou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’. Grito nascido de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experiência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 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otimista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: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morte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nasce a vida, do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sofrimento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nasce 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espírito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revolucionário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das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injustiças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sofridas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por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Jesus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de Nazaré nasce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um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dos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movimentos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mais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revolucionários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história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humanidade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: o cristianismo.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Sim, 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o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pessimismo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otimista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 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constitui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 </w:t>
      </w:r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a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maneira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sólida e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cristã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 xml:space="preserve"> de ser </w:t>
      </w:r>
      <w:proofErr w:type="spellStart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otimista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, como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escreve</w:t>
      </w:r>
      <w:proofErr w:type="spellEnd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 xml:space="preserve"> Helder </w:t>
      </w:r>
      <w:proofErr w:type="spellStart"/>
      <w:r w:rsidRPr="009F137F">
        <w:rPr>
          <w:rFonts w:ascii="Helvetica" w:eastAsia="Times New Roman" w:hAnsi="Helvetica" w:cs="Helvetica"/>
          <w:color w:val="333333"/>
          <w:sz w:val="28"/>
          <w:szCs w:val="28"/>
          <w:lang w:val="es-UY" w:eastAsia="es-UY"/>
        </w:rPr>
        <w:t>Camara</w:t>
      </w:r>
      <w:proofErr w:type="spellEnd"/>
      <w:r w:rsidRPr="009F137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val="es-UY" w:eastAsia="es-UY"/>
        </w:rPr>
        <w:t>.</w:t>
      </w:r>
    </w:p>
    <w:p w:rsidR="009F137F" w:rsidRPr="009F137F" w:rsidRDefault="009F137F" w:rsidP="009F137F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</w:p>
    <w:p w:rsidR="009F137F" w:rsidRPr="009F137F" w:rsidRDefault="009F137F" w:rsidP="009F137F">
      <w:pPr>
        <w:spacing w:after="15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es-UY" w:eastAsia="es-UY"/>
        </w:rPr>
      </w:pPr>
      <w:r w:rsidRPr="009F137F">
        <w:rPr>
          <w:rFonts w:ascii="Helvetica" w:eastAsia="Times New Roman" w:hAnsi="Helvetica" w:cs="Helvetica"/>
          <w:color w:val="000000"/>
          <w:sz w:val="21"/>
          <w:szCs w:val="21"/>
          <w:lang w:val="es-UY" w:eastAsia="es-UY"/>
        </w:rPr>
        <w:t>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7F"/>
    <w:rsid w:val="002E2F5B"/>
    <w:rsid w:val="009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A9D76-92BB-419F-A1C3-F56A75E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040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282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2239</Words>
  <Characters>12318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2020-07-13T13:55:00Z</dcterms:created>
  <dcterms:modified xsi:type="dcterms:W3CDTF">2020-07-13T13:55:00Z</dcterms:modified>
</cp:coreProperties>
</file>