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7E5" w:rsidRPr="00B537E5" w:rsidRDefault="00B537E5" w:rsidP="00B537E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66"/>
          <w:szCs w:val="66"/>
          <w:lang w:val="es-UY" w:eastAsia="es-UY"/>
        </w:rPr>
      </w:pPr>
      <w:proofErr w:type="spellStart"/>
      <w:r w:rsidRPr="00B537E5">
        <w:rPr>
          <w:rFonts w:ascii="Arial" w:eastAsia="Times New Roman" w:hAnsi="Arial" w:cs="Arial"/>
          <w:b/>
          <w:bCs/>
          <w:color w:val="FF0000"/>
          <w:kern w:val="36"/>
          <w:sz w:val="66"/>
          <w:szCs w:val="66"/>
          <w:lang w:val="es-UY" w:eastAsia="es-UY"/>
        </w:rPr>
        <w:t>Um</w:t>
      </w:r>
      <w:proofErr w:type="spellEnd"/>
      <w:r w:rsidRPr="00B537E5">
        <w:rPr>
          <w:rFonts w:ascii="Arial" w:eastAsia="Times New Roman" w:hAnsi="Arial" w:cs="Arial"/>
          <w:b/>
          <w:bCs/>
          <w:color w:val="FF0000"/>
          <w:kern w:val="36"/>
          <w:sz w:val="66"/>
          <w:szCs w:val="66"/>
          <w:lang w:val="es-UY" w:eastAsia="es-UY"/>
        </w:rPr>
        <w:t xml:space="preserve"> </w:t>
      </w:r>
      <w:proofErr w:type="spellStart"/>
      <w:r w:rsidRPr="00B537E5">
        <w:rPr>
          <w:rFonts w:ascii="Arial" w:eastAsia="Times New Roman" w:hAnsi="Arial" w:cs="Arial"/>
          <w:b/>
          <w:bCs/>
          <w:color w:val="FF0000"/>
          <w:kern w:val="36"/>
          <w:sz w:val="66"/>
          <w:szCs w:val="66"/>
          <w:lang w:val="es-UY" w:eastAsia="es-UY"/>
        </w:rPr>
        <w:t>pensamento</w:t>
      </w:r>
      <w:proofErr w:type="spellEnd"/>
      <w:r w:rsidRPr="00B537E5">
        <w:rPr>
          <w:rFonts w:ascii="Arial" w:eastAsia="Times New Roman" w:hAnsi="Arial" w:cs="Arial"/>
          <w:b/>
          <w:bCs/>
          <w:color w:val="FF0000"/>
          <w:kern w:val="36"/>
          <w:sz w:val="66"/>
          <w:szCs w:val="66"/>
          <w:lang w:val="es-UY" w:eastAsia="es-UY"/>
        </w:rPr>
        <w:t xml:space="preserve"> </w:t>
      </w:r>
      <w:proofErr w:type="spellStart"/>
      <w:r w:rsidRPr="00B537E5">
        <w:rPr>
          <w:rFonts w:ascii="Arial" w:eastAsia="Times New Roman" w:hAnsi="Arial" w:cs="Arial"/>
          <w:b/>
          <w:bCs/>
          <w:color w:val="FF0000"/>
          <w:kern w:val="36"/>
          <w:sz w:val="66"/>
          <w:szCs w:val="66"/>
          <w:lang w:val="es-UY" w:eastAsia="es-UY"/>
        </w:rPr>
        <w:t>nômade</w:t>
      </w:r>
      <w:proofErr w:type="spellEnd"/>
      <w:r w:rsidRPr="00B537E5">
        <w:rPr>
          <w:rFonts w:ascii="Arial" w:eastAsia="Times New Roman" w:hAnsi="Arial" w:cs="Arial"/>
          <w:b/>
          <w:bCs/>
          <w:color w:val="FF0000"/>
          <w:kern w:val="36"/>
          <w:sz w:val="66"/>
          <w:szCs w:val="66"/>
          <w:lang w:val="es-UY" w:eastAsia="es-UY"/>
        </w:rPr>
        <w:t xml:space="preserve">. Entrevista </w:t>
      </w:r>
      <w:proofErr w:type="spellStart"/>
      <w:r w:rsidRPr="00B537E5">
        <w:rPr>
          <w:rFonts w:ascii="Arial" w:eastAsia="Times New Roman" w:hAnsi="Arial" w:cs="Arial"/>
          <w:b/>
          <w:bCs/>
          <w:color w:val="FF0000"/>
          <w:kern w:val="36"/>
          <w:sz w:val="66"/>
          <w:szCs w:val="66"/>
          <w:lang w:val="es-UY" w:eastAsia="es-UY"/>
        </w:rPr>
        <w:t>com</w:t>
      </w:r>
      <w:proofErr w:type="spellEnd"/>
      <w:r w:rsidRPr="00B537E5">
        <w:rPr>
          <w:rFonts w:ascii="Arial" w:eastAsia="Times New Roman" w:hAnsi="Arial" w:cs="Arial"/>
          <w:b/>
          <w:bCs/>
          <w:color w:val="FF0000"/>
          <w:kern w:val="36"/>
          <w:sz w:val="66"/>
          <w:szCs w:val="66"/>
          <w:lang w:val="es-UY" w:eastAsia="es-UY"/>
        </w:rPr>
        <w:t xml:space="preserve"> </w:t>
      </w:r>
      <w:proofErr w:type="spellStart"/>
      <w:r w:rsidRPr="00B537E5">
        <w:rPr>
          <w:rFonts w:ascii="Arial" w:eastAsia="Times New Roman" w:hAnsi="Arial" w:cs="Arial"/>
          <w:b/>
          <w:bCs/>
          <w:color w:val="FF0000"/>
          <w:kern w:val="36"/>
          <w:sz w:val="66"/>
          <w:szCs w:val="66"/>
          <w:lang w:val="es-UY" w:eastAsia="es-UY"/>
        </w:rPr>
        <w:t>Yuk</w:t>
      </w:r>
      <w:proofErr w:type="spellEnd"/>
      <w:r w:rsidRPr="00B537E5">
        <w:rPr>
          <w:rFonts w:ascii="Arial" w:eastAsia="Times New Roman" w:hAnsi="Arial" w:cs="Arial"/>
          <w:b/>
          <w:bCs/>
          <w:color w:val="FF0000"/>
          <w:kern w:val="36"/>
          <w:sz w:val="66"/>
          <w:szCs w:val="66"/>
          <w:lang w:val="es-UY" w:eastAsia="es-UY"/>
        </w:rPr>
        <w:t xml:space="preserve"> Hui</w:t>
      </w: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FF0000"/>
          <w:sz w:val="26"/>
          <w:szCs w:val="26"/>
          <w:lang w:val="es-UY" w:eastAsia="es-UY"/>
        </w:rPr>
      </w:pPr>
    </w:p>
    <w:p w:rsid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Além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incerteza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estrutural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certezas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temos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meio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537E5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annus</w:t>
      </w:r>
      <w:proofErr w:type="spellEnd"/>
      <w:r w:rsidRPr="00B537E5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horribilis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é a profunda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transformação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interpretação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presente variegado 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contraditório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Diante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surgimento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totalitarismo digital, por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lado, a par de </w:t>
      </w:r>
      <w:hyperlink r:id="rId4" w:tgtFrame="_blank" w:history="1">
        <w:r w:rsidRPr="00B537E5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controles biopolíticos</w:t>
        </w:r>
      </w:hyperlink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excepcionais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por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acrescenta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-se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expropriação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rituais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antropológicos – velar os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mortos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companhia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familiares e amigos, visitar os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doentes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exercer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liberdade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movimento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–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interromperam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ordens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simbólicas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essenciais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experiência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humana como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conhecemos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 As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novas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paisagens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políticas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em diferentes partes do globo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exigem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assimilações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precedentes entre Oriente 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Ocidente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articular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537E5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 xml:space="preserve">imago </w:t>
      </w:r>
      <w:proofErr w:type="spellStart"/>
      <w:r w:rsidRPr="00B537E5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mundi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possa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explicar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ansiedade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que vivemos.</w:t>
      </w: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Nesse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contexto, a figura ascendente do filósofo </w:t>
      </w:r>
      <w:proofErr w:type="gram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poliglota 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"http://www.ihu.unisinos.br/600833" \t "_blank" </w:instrTex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B537E5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Yuk</w:t>
      </w:r>
      <w:proofErr w:type="spellEnd"/>
      <w:r w:rsidRPr="00B537E5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Hui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ganhou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especial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preponderância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alguns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principais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círculos de 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prestígio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intelectual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Formado como programador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Universidade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Hong Kong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estudou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filosofia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 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Goldsmiths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College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em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Londres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para posteriormente se especializar no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pensamento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técnica, cultura </w:t>
      </w:r>
      <w:proofErr w:type="gram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estética em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mídia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digital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pós-graduação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França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Alemanha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fortes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laços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 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Rússia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ele comanda a pesquisa em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tecnologia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filosofia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Universidades 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Leuphana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Bauhaus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atualmente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está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baseado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Hong Kong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Nos próximos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editora Caja Negra publicará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primeiro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livro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espanhol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título “</w:t>
      </w:r>
      <w:hyperlink r:id="rId5" w:tgtFrame="_blank" w:history="1">
        <w:r w:rsidRPr="00B537E5">
          <w:rPr>
            <w:rFonts w:ascii="Georgia" w:eastAsia="Times New Roman" w:hAnsi="Georgia" w:cs="Times New Roman"/>
            <w:i/>
            <w:iCs/>
            <w:color w:val="FC6B01"/>
            <w:sz w:val="26"/>
            <w:szCs w:val="26"/>
            <w:u w:val="single"/>
            <w:lang w:val="es-UY" w:eastAsia="es-UY"/>
          </w:rPr>
          <w:t xml:space="preserve">Fragmentar el futuro. </w:t>
        </w:r>
        <w:proofErr w:type="spellStart"/>
        <w:r w:rsidRPr="00B537E5">
          <w:rPr>
            <w:rFonts w:ascii="Georgia" w:eastAsia="Times New Roman" w:hAnsi="Georgia" w:cs="Times New Roman"/>
            <w:i/>
            <w:iCs/>
            <w:color w:val="FC6B01"/>
            <w:sz w:val="26"/>
            <w:szCs w:val="26"/>
            <w:u w:val="single"/>
            <w:lang w:val="es-UY" w:eastAsia="es-UY"/>
          </w:rPr>
          <w:t>Ensaios</w:t>
        </w:r>
        <w:proofErr w:type="spellEnd"/>
        <w:r w:rsidRPr="00B537E5">
          <w:rPr>
            <w:rFonts w:ascii="Georgia" w:eastAsia="Times New Roman" w:hAnsi="Georgia" w:cs="Times New Roman"/>
            <w:i/>
            <w:iCs/>
            <w:color w:val="FC6B01"/>
            <w:sz w:val="26"/>
            <w:szCs w:val="26"/>
            <w:u w:val="single"/>
            <w:lang w:val="es-UY" w:eastAsia="es-UY"/>
          </w:rPr>
          <w:t xml:space="preserve"> sobre </w:t>
        </w:r>
        <w:proofErr w:type="spellStart"/>
        <w:r w:rsidRPr="00B537E5">
          <w:rPr>
            <w:rFonts w:ascii="Georgia" w:eastAsia="Times New Roman" w:hAnsi="Georgia" w:cs="Times New Roman"/>
            <w:i/>
            <w:iCs/>
            <w:color w:val="FC6B01"/>
            <w:sz w:val="26"/>
            <w:szCs w:val="26"/>
            <w:u w:val="single"/>
            <w:lang w:val="es-UY" w:eastAsia="es-UY"/>
          </w:rPr>
          <w:t>tecnodiversidad</w:t>
        </w:r>
        <w:proofErr w:type="spellEnd"/>
      </w:hyperlink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”, por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Perfil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conversou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exclusivamente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autor.</w:t>
      </w: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 entrevista é de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Rafael Toriz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publicada por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Perfil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06-09-2020.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tradução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de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Wagner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Fernandes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Azevedo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:rsidR="00B537E5" w:rsidRPr="00B537E5" w:rsidRDefault="00B537E5" w:rsidP="00B537E5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proofErr w:type="spellStart"/>
      <w:r w:rsidRPr="00B537E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Eis</w:t>
      </w:r>
      <w:proofErr w:type="spellEnd"/>
      <w:r w:rsidRPr="00B537E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a entrevista.</w:t>
      </w: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:rsid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</w:pP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Gostaria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saber onde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você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nasceu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recebeu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sua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primeira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instrução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bem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como saber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sua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relação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com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relação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à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sua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língua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materna e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perguntar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em que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língua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você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escreve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maioria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seus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textos filosóficos.</w:t>
      </w: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Cresci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Hong Kong 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estudei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Inglaterra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França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 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Alemanha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Tenho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particular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minha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língua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materna. Eu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cresci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família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falava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mandarim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chew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chaw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(do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sul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China) 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cantonês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Quando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crianças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todos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nós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estudávamos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inglês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e,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minha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parte,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estudei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japonês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tempo,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língua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retomei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lastRenderedPageBreak/>
        <w:t>atualidade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;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depois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aprendi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francês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alemão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Eu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filosofia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escrita em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chinês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antigo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raramente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escrevia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chinês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última década.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Escrevo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principalmente em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inglês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apenas porque é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línguas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imperiais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populares do mundo,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porque é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meu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meio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conhecido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comunicar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conceitos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diferentes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práticas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linguísticas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</w:pPr>
      <w:proofErr w:type="gram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O que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significou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para ti a vida de migrante?</w:t>
      </w:r>
      <w:proofErr w:type="gramEnd"/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realidade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recordo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período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estabilidade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minha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vida: fui 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nômade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desde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criança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nômade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é diferente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imigrante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medida em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imigrante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quer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lar,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enquanto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nômade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desconhece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conceito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Apesar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que os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nômades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estejam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sempre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movimento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significa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tenham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apego à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terra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pelo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contrário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ainda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maioria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Os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nômades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costumam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 melancólicos </w:t>
      </w:r>
      <w:proofErr w:type="gram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nostálgicos. No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meu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caso, cada vez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deixei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lugar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sempre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deprimi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Existe em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necessidade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mover, interna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externamente.</w:t>
      </w: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Mesmo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sem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a pandemia, as universidades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estão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em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crise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há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muitos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anos </w:t>
      </w:r>
      <w:proofErr w:type="gram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e</w:t>
      </w:r>
      <w:proofErr w:type="gram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por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vários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motivos: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comercialização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de diplomas,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dependência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excessiva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de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financiamento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de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terceiros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industrialização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de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teorias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críticas - 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Yuk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Hui</w:t>
      </w:r>
    </w:p>
    <w:p w:rsid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</w:p>
    <w:p w:rsid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</w:pPr>
      <w:proofErr w:type="gram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Em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relação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aos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protestos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recentes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, como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lês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situação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Hong Kong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hoje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?</w:t>
      </w:r>
      <w:proofErr w:type="gramEnd"/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Supostamente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Hong Kong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seria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experimento de novas formas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soberania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o que significa que a política de “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"http://www.ihu.unisinos.br/600607" \t "_blank" </w:instrTex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B537E5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país, </w:t>
      </w:r>
      <w:proofErr w:type="spellStart"/>
      <w:r w:rsidRPr="00B537E5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dois</w:t>
      </w:r>
      <w:proofErr w:type="spellEnd"/>
      <w:r w:rsidRPr="00B537E5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sistemas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permitiria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maior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descentralização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pelo menos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redistribuição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sistema federal. No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entanto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demonstrou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fracasso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 A política mundial está dominada por 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ideologia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século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XX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Recentemente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publiquei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tradução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artigo escrito por </w:t>
      </w:r>
      <w:hyperlink r:id="rId6" w:tgtFrame="_blank" w:history="1">
        <w:r w:rsidRPr="00B537E5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Jean-François Lyotard</w:t>
        </w:r>
      </w:hyperlink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porém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antes de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fosse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enviado para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impressão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editor teve que eliminar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parágrafo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inteiro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dizia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“o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marxismo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é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produto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idealismo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alemão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do cristianismo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tardio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”. É sintomático, porque é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negação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; significa que o partido comunista se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nega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entender que 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Ocidente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acreditavam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entender é apenas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fabulação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É por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mesma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razão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os </w:t>
      </w:r>
      <w:hyperlink r:id="rId7" w:tgtFrame="_blank" w:history="1">
        <w:r w:rsidRPr="00B537E5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protestos em Hong Kong</w:t>
        </w:r>
      </w:hyperlink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foram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descritos como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oposição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fácil entre </w:t>
      </w:r>
      <w:hyperlink r:id="rId8" w:tgtFrame="_blank" w:history="1">
        <w:r w:rsidRPr="00B537E5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autoritarismo e liberalismo</w:t>
        </w:r>
      </w:hyperlink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no 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Ocidente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China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como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movimento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terrorista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anti-governo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coisas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complicadas.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obstante,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filosofia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política do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século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XX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conseguir nos dar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novos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derrotadores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China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 os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EUA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dominados por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alguns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pensadores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schimitianos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superficiais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por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refletem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si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Quando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dois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schmittianos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juntam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especulam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sobre se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deveriam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 amigos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inimigos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pode existir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amor feliz entre eles.</w:t>
      </w: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gram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Como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crês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que será a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sociedade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global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depois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dos estragos da covid-19 e o que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representou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para ti o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confinamento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?</w:t>
      </w:r>
      <w:proofErr w:type="gram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Lhe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pergunto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enquanto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a pandemia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ainda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está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ocorrendo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sobretudo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relação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poderosa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linha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dos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teus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ensaios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em que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defende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: “</w:t>
      </w:r>
      <w:proofErr w:type="gram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todas as</w:t>
      </w:r>
      <w:proofErr w:type="gram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formas de racismo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são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fundamentalmente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imunológicas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”.</w:t>
      </w: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 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"http://www.ihu.unisinos.br/597258" \t "_blank" </w:instrTex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B537E5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confinamento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é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momento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suspensão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reflexão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já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atividades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normais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foram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canceladas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realizadas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maneira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Claro,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questões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sociais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políticas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produzem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suspensão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já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espécie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“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seleção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natural” segundo 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nível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seguridade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social que se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poderia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possibilidade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começo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no sentido de </w:t>
      </w:r>
      <w:hyperlink r:id="rId9" w:tgtFrame="_blank" w:history="1">
        <w:r w:rsidRPr="00B537E5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Heidegger</w:t>
        </w:r>
      </w:hyperlink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De fato,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devemos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reconhecer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há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vida normal”,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sim “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normalizações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",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já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logo 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povo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estará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acostumado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usar máscaras e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manter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distância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social.</w:t>
      </w: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Provavelmente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teremos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confinamento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prolongado até que se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demonstre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vacina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efetiva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a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pandemia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chegue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No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entanto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se o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simplesmente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queremos é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voltar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à vida normal 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tudo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parecido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limada que faz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curso de yoga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duas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semanas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Índia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viagem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ayahuasca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Amazônia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para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voltar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trabalhar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duro </w:t>
      </w:r>
      <w:proofErr w:type="gram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limar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novamente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talvez o 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confinamento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teve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sentido.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Creio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se trata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ocasião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especial para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conceber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empreender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algumas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mudanças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fundamentais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desde os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indivíduos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coletivos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até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Estados.</w:t>
      </w: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</w:pP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revistar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tua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biografia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me parece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impossível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pensar em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outros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dois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filósofos do presente. Por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lado, 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fldChar w:fldCharType="begin"/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instrText xml:space="preserve"> HYPERLINK "http://www.ihu.unisinos.br/597343" \t "_blank" </w:instrTex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fldChar w:fldCharType="separate"/>
      </w:r>
      <w:r w:rsidRPr="00B537E5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Byung-Chul</w:t>
      </w:r>
      <w:proofErr w:type="spellEnd"/>
      <w:r w:rsidRPr="00B537E5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Han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fldChar w:fldCharType="end"/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 e, por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outro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, </w:t>
      </w:r>
      <w:hyperlink r:id="rId10" w:tgtFrame="_blank" w:history="1">
        <w:r w:rsidRPr="00B537E5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Markus Gabriel</w:t>
        </w:r>
      </w:hyperlink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com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quem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compartilha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apenas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temperamento cosmopolita,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mas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também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condição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poliglota que defina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novo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tipo de filósofo que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vocês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encarnam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espécie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representação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holográfica do inconsciente do Google que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move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se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perguntar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o que significa ser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filósofo no presente. O que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pensas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deles </w:t>
      </w:r>
      <w:proofErr w:type="gram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</w:t>
      </w:r>
      <w:proofErr w:type="gram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relação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guarda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com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suas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obras – se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há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alguma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?</w:t>
      </w: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é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grande insulto que o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sucesso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do </w:t>
      </w:r>
      <w:proofErr w:type="gram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Zoom</w:t>
      </w:r>
      <w:proofErr w:type="gram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se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deva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em grande parte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ao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fato de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nenhuma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universidade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do planeta ter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desenvolvido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plataforma online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apropriada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? - 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Yuk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Hui</w:t>
      </w: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quero me comparar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estrelas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mencionas,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pois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seria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confirmação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negócio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sofisticação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global, que cada vez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o caso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atual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Somente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quero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fazer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algumas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observações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Como asiático,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entendo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difícil é para 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Byung-Chul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Han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ser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reconhecido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filósofo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orientalista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Alemanha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provavelmente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seja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difícil que ter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eleito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Obama presidente dos Estados Unidos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Han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quase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conseguiu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fez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gram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tanto pelos escritos</w:t>
      </w:r>
      <w:proofErr w:type="gram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acadêmicos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sim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através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comentários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jornais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panfletos em formas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livros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Creio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circunstância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explica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somente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quando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reparamos no fato de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cátedra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renovada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tendo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60 anos,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enquanto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Markus Gabriel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teve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cátedra permanente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29 anos.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Gosto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trabalho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anterior de Han,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porém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tenho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proximidade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pensamento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</w:pP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Nestes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tempos ominosos,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quando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exercício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filosófico se torna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mais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indispensável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que nunca, paradoxalmente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são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poucos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os que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podem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se dedicar à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filosofia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como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opção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para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ganhar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a vida,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sobretudo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América Latina. Por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isso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, 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qual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é o lugar do humanismo –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profissionais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liberais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escolas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artes </w:t>
      </w:r>
      <w:proofErr w:type="gram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</w:t>
      </w:r>
      <w:proofErr w:type="gram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humanidades,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jornalismo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novos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proletariados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digitais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– em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contexto de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esgotamento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ecológica,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desvalorização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trabalho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e sociedades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governadas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por algoritmos? É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possível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ser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somente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filósofo no presente,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ou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necessário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mesmo tempo ser programador?</w:t>
      </w: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As universidades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têm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que ser reinventadas,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são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forçadas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a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isso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mas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da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maneira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que Agamben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sugere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já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que ele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entende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realmente de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tecnologia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, o que Heidegger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chamou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de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Gestell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- 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Yuk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Hui</w:t>
      </w: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</w:p>
    <w:p w:rsid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Primeiro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fui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treinado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ser programador antes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estudar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filosofia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Fiz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contrário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dúvidas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conhecimento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computacional é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necessário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os filósofos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querem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entender o mundo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contemporâneo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maneira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podem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fazer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ridículo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dizendo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coisas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que a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máquina de Turing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é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mecanicisita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creio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porém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todo mundo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tenha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se tornar programador, toda vez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devemos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conceber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programa que nos permita acomodar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inovação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tecnológica no lugar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simplesmente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deixarmos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levar por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somente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redundará em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desorientação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O algoritmo é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externalização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pensamento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racional, que é complicado em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processo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desenvolvimento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lógica linear para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lógica recursiva. 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razão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pela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qual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Gotthard Günther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hegeliano </w:t>
      </w:r>
      <w:proofErr w:type="gram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cibernético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alemão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afirma que a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cibernética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emprega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retroalimentação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realização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lógica reflexiva de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Hegel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questão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como as máquinas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nos substituir;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ainda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está dentro do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âmbito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limitado da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economia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política, da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qual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Marx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precursor.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questão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como </w:t>
      </w:r>
      <w:proofErr w:type="gram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vamos</w:t>
      </w:r>
      <w:proofErr w:type="gram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confirmar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forma externalizada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racionalidade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atual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?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Qual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possibilidade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razão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?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digitalização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tendência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técnica”, no sentido da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palavra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André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Leroi-Gouhran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tendência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técnica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ser estabilizada e incorporada por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localidade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significados, valores, saberes 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relações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sociais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comunidade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Cada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movimento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ser estratégico, para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destruído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pela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ideologia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Vale do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Silício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Como o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próprio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Heidegger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disse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vez: “</w:t>
      </w:r>
      <w:proofErr w:type="gram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Pode</w:t>
      </w:r>
      <w:proofErr w:type="gram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ser que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qualquer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salvação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que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venha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do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perigo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ainda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se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encontre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dentro do desastre [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Unheil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]" - 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Yuk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Hui</w:t>
      </w: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</w:p>
    <w:p w:rsid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Acho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ainda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entendido pelos tecnólogos 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nós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os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você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mencionou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artistas, humanistas,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jornalistas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liberais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temos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fazer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Primeiro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para desenvolver concretamente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nova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economia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base local e, segundo, reformar o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sistema educacional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para que os estudiosos das humanidades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possam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compreender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tecnologia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os tecnólogos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possam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estudos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liberais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currículo.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acho que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interdisciplinaridade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seja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gram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chave</w:t>
      </w:r>
      <w:proofErr w:type="gram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o futuro, acho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deveríamos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até abolir 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conceito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disciplinas e dar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às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artes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liberais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nova vida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após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renascimento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</w:pP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principais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preocupações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 </w:t>
      </w:r>
      <w:hyperlink r:id="rId11" w:tgtFrame="_blank" w:history="1">
        <w:r w:rsidRPr="00B537E5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Giorgio Agamben</w:t>
        </w:r>
      </w:hyperlink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 em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relação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à pandemia era o lugar de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viver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pensamento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Universidade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, que ele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acha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absolutamente ausente no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ensino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online. No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seu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livro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“</w:t>
      </w:r>
      <w:r w:rsidRPr="00B537E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Fragmentando o futuro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” destacas que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essa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crise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também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oportunidade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. </w:t>
      </w:r>
      <w:proofErr w:type="gram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Que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benefícios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vês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no presente da vida digital?</w:t>
      </w:r>
      <w:proofErr w:type="gramEnd"/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Em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primeiro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lugar, acredito que mesmo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pandemia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as </w:t>
      </w:r>
      <w:hyperlink r:id="rId12" w:tgtFrame="_blank" w:history="1">
        <w:r w:rsidRPr="00B537E5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universidades</w:t>
        </w:r>
      </w:hyperlink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há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anos e por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vários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motivos: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comercialização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diplomas,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dependência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excessiva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financiamento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terceiros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industrialização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teorias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críticas, etc. Para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acadêmicos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geração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hyperlink r:id="rId13" w:tgtFrame="_blank" w:history="1">
        <w:r w:rsidRPr="00B537E5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Agamben</w:t>
        </w:r>
      </w:hyperlink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ambiente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ensino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ideal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seria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dedicar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seminário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inteiro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à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leitura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duas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páginas de 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Platão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Heidegger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palavra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palavra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aparentemente será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difícil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quando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feito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online, especialmente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quando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tais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plataformas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foram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criadas para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fins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educativos.</w:t>
      </w: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grande insulto que 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sucesso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 </w:t>
      </w:r>
      <w:proofErr w:type="gram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Zoom</w:t>
      </w:r>
      <w:proofErr w:type="gram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se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grande parte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fato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nenhuma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universidade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planeta ter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desenvolvido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plataforma online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apropriada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?</w:t>
      </w: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coisa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é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certa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: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estamos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sendo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levados a lugar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nenhum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pela gigantesca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força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da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tecnologia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, e se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tentarmos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entendê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-la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e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transformá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-la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agora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teremos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que estar preparados para a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chegada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constante de catástrofes, se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ainda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é o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fim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de a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humanidade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- 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>Yuk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  <w:t xml:space="preserve"> Hui</w:t>
      </w:r>
    </w:p>
    <w:p w:rsid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 </w:t>
      </w:r>
      <w:hyperlink r:id="rId14" w:tgtFrame="_blank" w:history="1">
        <w:r w:rsidRPr="00B537E5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universidades </w:t>
        </w:r>
        <w:proofErr w:type="spellStart"/>
        <w:r w:rsidRPr="00B537E5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têm</w:t>
        </w:r>
        <w:proofErr w:type="spellEnd"/>
        <w:r w:rsidRPr="00B537E5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 que ser reinventadas</w:t>
        </w:r>
      </w:hyperlink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forçadas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maneira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Agamben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sugere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já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ele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entende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realmente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tecnologia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o que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Heidegger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chamou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proofErr w:type="spellStart"/>
      <w:r w:rsidRPr="00B537E5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Gestell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Como 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próprio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Heidegger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vez: “Pode ser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qualquer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salvação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venha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perigo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ainda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encontre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dentro do desastre [</w:t>
      </w:r>
      <w:proofErr w:type="spellStart"/>
      <w:r w:rsidRPr="00B537E5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Unheil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]”. </w:t>
      </w:r>
      <w:proofErr w:type="gram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Em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livro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“O que é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dispositivo?</w:t>
      </w:r>
      <w:proofErr w:type="gram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quando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diz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eis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vaidade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discurso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bem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intencionado sobre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tecnologia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afirma que o problema dos dispositivos pode ser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reduzido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à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questão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uso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correto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Aqueles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fazem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tais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afirmações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parecem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ignorar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fato simples: se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certo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processo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subjetivação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(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neste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caso,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dessubjetivação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) corresponde a cada dispositivo,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impossível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sujeito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aparato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usá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-lo 'da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maneira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certa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'”. Acho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estava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errado.</w:t>
      </w:r>
    </w:p>
    <w:p w:rsid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No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entanto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chave é criar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tecnologias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alternativas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modos de “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subjetivação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”. Por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exemplo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podemos imaginar plataformas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educação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colaborativa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baseadas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diferentes grupos de </w:t>
      </w:r>
      <w:proofErr w:type="gram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zoom</w:t>
      </w:r>
      <w:proofErr w:type="gram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 E, de fato, acredito que o que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Agamben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chamou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indigência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só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pode ser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feito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apropriando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-se da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tecnologia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pois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rua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exige novas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instituições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ainda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temos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pensar </w:t>
      </w:r>
      <w:proofErr w:type="gram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construir juntos.</w:t>
      </w: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</w:pP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“O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coronavírus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destruirá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muitas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instituições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já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ameaçadas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pelas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tecnologias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digitais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Também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fará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necessário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aumento da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vigilância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”. O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cenário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descreves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, e no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qual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já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vivemos,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deixa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pouco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espaço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para respirar, por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isso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 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fazes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chamado à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solidariedade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concreta, contra a cultura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monotecnológica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após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tecnodiversidade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com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tecnologias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alternativas e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seus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correspondentes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modos de vida, o que se torna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necessário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porém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tampouco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parece simples. </w:t>
      </w:r>
      <w:proofErr w:type="gram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O que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Oriente pode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dizer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Ocidente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para imaginar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resistência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global articulada?</w:t>
      </w:r>
      <w:proofErr w:type="gramEnd"/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Se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solução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fosse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simples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haveria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nenhum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problema. Como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existe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solução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simples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disponível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devemos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tentar diferentes tentativas,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depender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única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autoridade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dar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instruções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Acredito que durante a pandemia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perceberam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a política nada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do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monte de mentiras, e o </w:t>
      </w:r>
      <w:hyperlink r:id="rId15" w:tgtFrame="_blank" w:history="1">
        <w:r w:rsidRPr="00B537E5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capitalismo</w:t>
        </w:r>
      </w:hyperlink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perderá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nenhuma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oportunidade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as catástrofes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lhe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proporcionam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a pandemia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interrompeu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fato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operação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mal.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verdade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 pandemia apenas 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acelerou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produzindo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sensação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desesperança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de 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"http://www.ihu.unisinos.br/584535" \t "_blank" </w:instrTex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B537E5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niilismo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 O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Oriente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conhecemos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hoje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fundamentalmente diferente do 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Ocidente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em termos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meios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exploração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formas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engano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verdade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apenas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coisa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certa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estamos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sendo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levados a lugar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nenhum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pela gigantesca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força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tecnologia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 se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tentarmos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entendê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-la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transformá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-la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agora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teremos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estar preparados para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chegada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constante de </w:t>
      </w:r>
      <w:hyperlink r:id="rId16" w:tgtFrame="_blank" w:history="1">
        <w:r w:rsidRPr="00B537E5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catástrofes</w:t>
        </w:r>
      </w:hyperlink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se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ainda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humanidade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:rsid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Os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ensaios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compõem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este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volume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podem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 organizados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sob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rúbrica da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tecnodiversidade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conceito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apresentei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meu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segundo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livro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The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Question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Concerning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Technology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 xml:space="preserve"> in China: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An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Essay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 xml:space="preserve"> in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Cosmotechnics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 </w:t>
      </w:r>
      <w:proofErr w:type="gram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publicado em</w:t>
      </w:r>
      <w:proofErr w:type="gram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2016 e que continuo a desenvolver. A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busca pela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tecnodiversidade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propõe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reabertura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questão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técnica: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invés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entender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tecnologia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universal antropológico,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redescobrir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multiplicidade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cosmotécnicas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junto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respectivas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histórias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possibilidades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oferecem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enfrentar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tecnologia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moderna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hoje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 O 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conceito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cosmotécnica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visa,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acima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tudo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desafiar a forma como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tecnologia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entendida durante 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século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20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filosofia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antropologia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história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Eu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ofereci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definição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preliminar de 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cosmotécnica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como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unificação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ordens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cosmos </w:t>
      </w:r>
      <w:proofErr w:type="gram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moral por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meio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atividades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técnicas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propósito de sugerir que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tecnologia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 reposicionada em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realidade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ampla que a torna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possível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mesmo tempo que a restringe. Em “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The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Question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Concerning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Technology</w:t>
      </w:r>
      <w:proofErr w:type="spellEnd"/>
      <w:r w:rsidRPr="00B537E5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 xml:space="preserve"> in China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procurei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formular o 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pensamento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tecnológico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na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China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estudando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dinâmica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histórica da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duas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categorias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filosóficas importantes, </w:t>
      </w:r>
      <w:r w:rsidRPr="00B537E5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tao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 </w:t>
      </w:r>
      <w:proofErr w:type="spellStart"/>
      <w:r w:rsidRPr="00B537E5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qi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(literalmente, “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utensílio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”), e examinando como eles se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desconectam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modernização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segue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Guerras do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Ópio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em que a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China</w:t>
      </w:r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é derrotada pelo 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Império</w:t>
      </w:r>
      <w:proofErr w:type="spellEnd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Britânico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Que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tecnologia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desligada da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realidade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é 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fundamento é fruto do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desejo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ser universal 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tornar o fundamento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tudo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Por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trás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desse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desejo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como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condição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possibilidade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está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história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colonização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modernização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da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globalização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que, a par do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crescimento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econômico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da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expansão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militar,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deu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origem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cultura </w:t>
      </w:r>
      <w:proofErr w:type="spellStart"/>
      <w:r w:rsidRPr="00B537E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monotecnológica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em que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tecnologia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moderna se torna a principal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força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produtiva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determina em grande parte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relação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 os seres humanos e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humanos, o ser humano e o cosmos, a </w:t>
      </w:r>
      <w:proofErr w:type="spellStart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natureza</w:t>
      </w:r>
      <w:proofErr w:type="spellEnd"/>
      <w:r w:rsidRPr="00B537E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a cultura.</w:t>
      </w:r>
    </w:p>
    <w:p w:rsid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537E5" w:rsidRPr="00B537E5" w:rsidRDefault="00B537E5" w:rsidP="00B537E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bookmarkStart w:id="0" w:name="_GoBack"/>
      <w:bookmarkEnd w:id="0"/>
    </w:p>
    <w:p w:rsidR="002E2F5B" w:rsidRDefault="00B537E5">
      <w:hyperlink r:id="rId17" w:history="1">
        <w:r w:rsidRPr="003F3CFB">
          <w:rPr>
            <w:rStyle w:val="Hipervnculo"/>
          </w:rPr>
          <w:t>http://www.ihu.unisinos.br/602655-um-pensamento-nomade-entrevista-com-yuk-hui</w:t>
        </w:r>
      </w:hyperlink>
    </w:p>
    <w:p w:rsidR="00B537E5" w:rsidRDefault="00B537E5"/>
    <w:sectPr w:rsidR="00B537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7E5"/>
    <w:rsid w:val="002E2F5B"/>
    <w:rsid w:val="00B5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32C0"/>
  <w15:chartTrackingRefBased/>
  <w15:docId w15:val="{65F26687-9251-4E0A-9799-C630800E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537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53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6088">
          <w:marLeft w:val="0"/>
          <w:marRight w:val="300"/>
          <w:marTop w:val="150"/>
          <w:marBottom w:val="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453279787">
          <w:marLeft w:val="300"/>
          <w:marRight w:val="0"/>
          <w:marTop w:val="150"/>
          <w:marBottom w:val="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610889138">
          <w:marLeft w:val="0"/>
          <w:marRight w:val="300"/>
          <w:marTop w:val="150"/>
          <w:marBottom w:val="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176503138">
          <w:marLeft w:val="300"/>
          <w:marRight w:val="0"/>
          <w:marTop w:val="150"/>
          <w:marBottom w:val="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376084445">
          <w:marLeft w:val="0"/>
          <w:marRight w:val="300"/>
          <w:marTop w:val="150"/>
          <w:marBottom w:val="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9382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u.unisinos.br/589096" TargetMode="External"/><Relationship Id="rId13" Type="http://schemas.openxmlformats.org/officeDocument/2006/relationships/hyperlink" Target="http://www.ihu.unisinos.br/59941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hu.unisinos.br/591764" TargetMode="External"/><Relationship Id="rId12" Type="http://schemas.openxmlformats.org/officeDocument/2006/relationships/hyperlink" Target="http://www.ihu.unisinos.br/images/stories/cadernos/ideias/290cadernosihuideias.pdf" TargetMode="External"/><Relationship Id="rId17" Type="http://schemas.openxmlformats.org/officeDocument/2006/relationships/hyperlink" Target="http://www.ihu.unisinos.br/602655-um-pensamento-nomade-entrevista-com-yuk-hui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hu.unisinos.br/59784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hu.unisinos.br/571369" TargetMode="External"/><Relationship Id="rId11" Type="http://schemas.openxmlformats.org/officeDocument/2006/relationships/hyperlink" Target="http://www.ihu.unisinos.br/78-noticias/599292-requiem-para-os-estudantes-artigo-de-giorgio-agamben" TargetMode="External"/><Relationship Id="rId5" Type="http://schemas.openxmlformats.org/officeDocument/2006/relationships/hyperlink" Target="http://www.ihu.unisinos.br/602272" TargetMode="External"/><Relationship Id="rId15" Type="http://schemas.openxmlformats.org/officeDocument/2006/relationships/hyperlink" Target="http://www.ihu.unisinos.br/600211" TargetMode="External"/><Relationship Id="rId10" Type="http://schemas.openxmlformats.org/officeDocument/2006/relationships/hyperlink" Target="http://www.ihu.unisinos.br/600862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ihu.unisinos.br/599379" TargetMode="External"/><Relationship Id="rId9" Type="http://schemas.openxmlformats.org/officeDocument/2006/relationships/hyperlink" Target="http://www.ihu.unisinos.br/514577" TargetMode="External"/><Relationship Id="rId14" Type="http://schemas.openxmlformats.org/officeDocument/2006/relationships/hyperlink" Target="http://www.ihu.unisinos.br/60181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2792</Words>
  <Characters>15358</Characters>
  <Application>Microsoft Office Word</Application>
  <DocSecurity>0</DocSecurity>
  <Lines>127</Lines>
  <Paragraphs>36</Paragraphs>
  <ScaleCrop>false</ScaleCrop>
  <Company/>
  <LinksUpToDate>false</LinksUpToDate>
  <CharactersWithSpaces>18114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2020-09-09T13:34:00Z</dcterms:created>
  <dcterms:modified xsi:type="dcterms:W3CDTF">2020-09-09T13:37:00Z</dcterms:modified>
</cp:coreProperties>
</file>