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22B" w:rsidRPr="00C7222B" w:rsidRDefault="00C7222B" w:rsidP="00C7222B">
      <w:pPr>
        <w:shd w:val="clear" w:color="auto" w:fill="FFFFFF"/>
        <w:spacing w:after="0" w:line="240" w:lineRule="auto"/>
        <w:jc w:val="center"/>
        <w:rPr>
          <w:rFonts w:ascii="Arial" w:eastAsia="Times New Roman" w:hAnsi="Arial" w:cs="Arial"/>
          <w:color w:val="222222"/>
          <w:sz w:val="24"/>
          <w:szCs w:val="24"/>
          <w:lang w:val="es-UY" w:eastAsia="es-UY"/>
        </w:rPr>
      </w:pPr>
      <w:r w:rsidRPr="00C7222B">
        <w:rPr>
          <w:rFonts w:ascii="Arial" w:eastAsia="Times New Roman" w:hAnsi="Arial" w:cs="Arial"/>
          <w:b/>
          <w:bCs/>
          <w:color w:val="000000"/>
          <w:sz w:val="27"/>
          <w:szCs w:val="27"/>
          <w:lang w:val="es-UY" w:eastAsia="es-UY"/>
        </w:rPr>
        <w:t>El amor a Dios es inseparable del amor a los hermanos</w:t>
      </w:r>
      <w:r w:rsidRPr="00C7222B">
        <w:rPr>
          <w:rFonts w:ascii="Arial" w:eastAsia="Times New Roman" w:hAnsi="Arial" w:cs="Arial"/>
          <w:b/>
          <w:bCs/>
          <w:color w:val="000000"/>
          <w:sz w:val="27"/>
          <w:szCs w:val="27"/>
          <w:lang w:val="es-UY" w:eastAsia="es-UY"/>
        </w:rPr>
        <w:br/>
      </w:r>
      <w:r w:rsidRPr="00C7222B">
        <w:rPr>
          <w:rFonts w:ascii="Arial" w:eastAsia="Times New Roman" w:hAnsi="Arial" w:cs="Arial"/>
          <w:color w:val="000000"/>
          <w:sz w:val="27"/>
          <w:szCs w:val="27"/>
          <w:lang w:val="es-UY" w:eastAsia="es-UY"/>
        </w:rPr>
        <w:t>DOMINGO TRIGÉSIMO - "A"</w:t>
      </w:r>
    </w:p>
    <w:p w:rsidR="00C7222B" w:rsidRPr="00C7222B" w:rsidRDefault="00C7222B" w:rsidP="00C7222B">
      <w:pPr>
        <w:shd w:val="clear" w:color="auto" w:fill="FFFFFF"/>
        <w:spacing w:after="0" w:line="240" w:lineRule="auto"/>
        <w:jc w:val="center"/>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center"/>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right"/>
        <w:rPr>
          <w:rFonts w:ascii="Arial" w:eastAsia="Times New Roman" w:hAnsi="Arial" w:cs="Arial"/>
          <w:color w:val="222222"/>
          <w:sz w:val="24"/>
          <w:szCs w:val="24"/>
          <w:lang w:val="es-UY" w:eastAsia="es-UY"/>
        </w:rPr>
      </w:pPr>
      <w:r w:rsidRPr="00C7222B">
        <w:drawing>
          <wp:inline distT="0" distB="0" distL="0" distR="0" wp14:anchorId="545FD933" wp14:editId="4C1CA677">
            <wp:extent cx="3086100" cy="2466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86100" cy="2466975"/>
                    </a:xfrm>
                    <a:prstGeom prst="rect">
                      <a:avLst/>
                    </a:prstGeom>
                  </pic:spPr>
                </pic:pic>
              </a:graphicData>
            </a:graphic>
          </wp:inline>
        </w:drawing>
      </w:r>
      <w:r w:rsidRPr="00C7222B">
        <w:rPr>
          <w:rFonts w:ascii="Arial" w:eastAsia="Times New Roman" w:hAnsi="Arial" w:cs="Arial"/>
          <w:i/>
          <w:iCs/>
          <w:color w:val="000000"/>
          <w:sz w:val="27"/>
          <w:szCs w:val="27"/>
          <w:lang w:val="es-UY" w:eastAsia="es-UY"/>
        </w:rPr>
        <w:t>Edu</w:t>
      </w:r>
      <w:bookmarkStart w:id="0" w:name="_GoBack"/>
      <w:bookmarkEnd w:id="0"/>
      <w:r w:rsidRPr="00C7222B">
        <w:rPr>
          <w:rFonts w:ascii="Arial" w:eastAsia="Times New Roman" w:hAnsi="Arial" w:cs="Arial"/>
          <w:i/>
          <w:iCs/>
          <w:color w:val="000000"/>
          <w:sz w:val="27"/>
          <w:szCs w:val="27"/>
          <w:lang w:val="es-UY" w:eastAsia="es-UY"/>
        </w:rPr>
        <w:t>ardo de la Serna</w:t>
      </w:r>
    </w:p>
    <w:p w:rsidR="00C7222B" w:rsidRPr="00C7222B" w:rsidRDefault="00C7222B" w:rsidP="00C7222B">
      <w:pPr>
        <w:shd w:val="clear" w:color="auto" w:fill="FFFFFF"/>
        <w:spacing w:after="0" w:line="240" w:lineRule="auto"/>
        <w:jc w:val="right"/>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right"/>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right"/>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240" w:line="240" w:lineRule="auto"/>
        <w:rPr>
          <w:rFonts w:ascii="Arial" w:eastAsia="Times New Roman" w:hAnsi="Arial" w:cs="Arial"/>
          <w:color w:val="222222"/>
          <w:sz w:val="24"/>
          <w:szCs w:val="24"/>
          <w:lang w:val="es-UY" w:eastAsia="es-UY"/>
        </w:rPr>
      </w:pPr>
      <w:r w:rsidRPr="00C7222B">
        <w:rPr>
          <w:rFonts w:ascii="Arial" w:eastAsia="Times New Roman" w:hAnsi="Arial" w:cs="Arial"/>
          <w:b/>
          <w:bCs/>
          <w:color w:val="000000"/>
          <w:sz w:val="27"/>
          <w:szCs w:val="27"/>
          <w:lang w:val="es-UY" w:eastAsia="es-UY"/>
        </w:rPr>
        <w:t>Lectura del libro del Éxodo</w:t>
      </w:r>
      <w:r w:rsidRPr="00C7222B">
        <w:rPr>
          <w:rFonts w:ascii="Arial" w:eastAsia="Times New Roman" w:hAnsi="Arial" w:cs="Arial"/>
          <w:color w:val="000000"/>
          <w:sz w:val="27"/>
          <w:szCs w:val="27"/>
          <w:lang w:val="es-UY" w:eastAsia="es-UY"/>
        </w:rPr>
        <w:t>     22, 20-26</w:t>
      </w:r>
      <w:r w:rsidRPr="00C7222B">
        <w:rPr>
          <w:rFonts w:ascii="Arial" w:eastAsia="Times New Roman" w:hAnsi="Arial" w:cs="Arial"/>
          <w:color w:val="000000"/>
          <w:sz w:val="27"/>
          <w:szCs w:val="27"/>
          <w:lang w:val="es-UY" w:eastAsia="es-UY"/>
        </w:rPr>
        <w:br/>
      </w:r>
      <w:r w:rsidRPr="00C7222B">
        <w:rPr>
          <w:rFonts w:ascii="Arial" w:eastAsia="Times New Roman" w:hAnsi="Arial" w:cs="Arial"/>
          <w:color w:val="000000"/>
          <w:sz w:val="27"/>
          <w:szCs w:val="27"/>
          <w:lang w:val="es-UY" w:eastAsia="es-UY"/>
        </w:rPr>
        <w:br/>
      </w:r>
      <w:r w:rsidRPr="00C7222B">
        <w:rPr>
          <w:rFonts w:ascii="Arial" w:eastAsia="Times New Roman" w:hAnsi="Arial" w:cs="Arial"/>
          <w:i/>
          <w:iCs/>
          <w:color w:val="000000"/>
          <w:sz w:val="27"/>
          <w:szCs w:val="27"/>
          <w:lang w:val="es-UY" w:eastAsia="es-UY"/>
        </w:rPr>
        <w:t>Resumen: Una serie de normas legales de Israel se orientan hacia el accionar ante los desprotegidos (forasteros, huérfanos, viudas, pobres) resaltando que Dios toma partida por ellos y actúa movido por la compasión ante su dolor.</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Siendo que la primera lectura se escoge en función del Evangelio, no es evidente – en este caso –la razón de la elección. El texto es un fragmento menor dentro de una serie de normas legales relativas a la convivencia (20,22 – 24,33; el texto comienza con “</w:t>
      </w:r>
      <w:r w:rsidRPr="00C7222B">
        <w:rPr>
          <w:rFonts w:ascii="Arial" w:eastAsia="Times New Roman" w:hAnsi="Arial" w:cs="Arial"/>
          <w:i/>
          <w:iCs/>
          <w:color w:val="000000"/>
          <w:sz w:val="27"/>
          <w:szCs w:val="27"/>
          <w:lang w:val="es-UY" w:eastAsia="es-UY"/>
        </w:rPr>
        <w:t>Yahvé dijo a Moisés</w:t>
      </w:r>
      <w:r w:rsidRPr="00C7222B">
        <w:rPr>
          <w:rFonts w:ascii="Arial" w:eastAsia="Times New Roman" w:hAnsi="Arial" w:cs="Arial"/>
          <w:color w:val="000000"/>
          <w:sz w:val="27"/>
          <w:szCs w:val="27"/>
          <w:lang w:val="es-UY" w:eastAsia="es-UY"/>
        </w:rPr>
        <w:t>” y recién vuelve a repetirse en 24,1). Entre ellos hay muy diversos mandamientos, tanto normativos (“no harás…”) como casuísticos (“si hicieras…”). De ambos casos encontramos en el texto litúrgico de hoy: “</w:t>
      </w:r>
      <w:r w:rsidRPr="00C7222B">
        <w:rPr>
          <w:rFonts w:ascii="Arial" w:eastAsia="Times New Roman" w:hAnsi="Arial" w:cs="Arial"/>
          <w:i/>
          <w:iCs/>
          <w:color w:val="000000"/>
          <w:sz w:val="27"/>
          <w:szCs w:val="27"/>
          <w:lang w:val="es-UY" w:eastAsia="es-UY"/>
        </w:rPr>
        <w:t>no maltratarás</w:t>
      </w:r>
      <w:r w:rsidRPr="00C7222B">
        <w:rPr>
          <w:rFonts w:ascii="Arial" w:eastAsia="Times New Roman" w:hAnsi="Arial" w:cs="Arial"/>
          <w:color w:val="000000"/>
          <w:sz w:val="27"/>
          <w:szCs w:val="27"/>
          <w:lang w:val="es-UY" w:eastAsia="es-UY"/>
        </w:rPr>
        <w:t>”, “</w:t>
      </w:r>
      <w:r w:rsidRPr="00C7222B">
        <w:rPr>
          <w:rFonts w:ascii="Arial" w:eastAsia="Times New Roman" w:hAnsi="Arial" w:cs="Arial"/>
          <w:i/>
          <w:iCs/>
          <w:color w:val="000000"/>
          <w:sz w:val="27"/>
          <w:szCs w:val="27"/>
          <w:lang w:val="es-UY" w:eastAsia="es-UY"/>
        </w:rPr>
        <w:t>no harás daño</w:t>
      </w:r>
      <w:r w:rsidRPr="00C7222B">
        <w:rPr>
          <w:rFonts w:ascii="Arial" w:eastAsia="Times New Roman" w:hAnsi="Arial" w:cs="Arial"/>
          <w:color w:val="000000"/>
          <w:sz w:val="27"/>
          <w:szCs w:val="27"/>
          <w:lang w:val="es-UY" w:eastAsia="es-UY"/>
        </w:rPr>
        <w:t>” y “</w:t>
      </w:r>
      <w:r w:rsidRPr="00C7222B">
        <w:rPr>
          <w:rFonts w:ascii="Arial" w:eastAsia="Times New Roman" w:hAnsi="Arial" w:cs="Arial"/>
          <w:i/>
          <w:iCs/>
          <w:color w:val="000000"/>
          <w:sz w:val="27"/>
          <w:szCs w:val="27"/>
          <w:lang w:val="es-UY" w:eastAsia="es-UY"/>
        </w:rPr>
        <w:t>si prestas</w:t>
      </w:r>
      <w:r w:rsidRPr="00C7222B">
        <w:rPr>
          <w:rFonts w:ascii="Arial" w:eastAsia="Times New Roman" w:hAnsi="Arial" w:cs="Arial"/>
          <w:color w:val="000000"/>
          <w:sz w:val="27"/>
          <w:szCs w:val="27"/>
          <w:lang w:val="es-UY" w:eastAsia="es-UY"/>
        </w:rPr>
        <w:t>”, “</w:t>
      </w:r>
      <w:r w:rsidRPr="00C7222B">
        <w:rPr>
          <w:rFonts w:ascii="Arial" w:eastAsia="Times New Roman" w:hAnsi="Arial" w:cs="Arial"/>
          <w:i/>
          <w:iCs/>
          <w:color w:val="000000"/>
          <w:sz w:val="27"/>
          <w:szCs w:val="27"/>
          <w:lang w:val="es-UY" w:eastAsia="es-UY"/>
        </w:rPr>
        <w:t>si tomas</w:t>
      </w:r>
      <w:r w:rsidRPr="00C7222B">
        <w:rPr>
          <w:rFonts w:ascii="Arial" w:eastAsia="Times New Roman" w:hAnsi="Arial" w:cs="Arial"/>
          <w:color w:val="000000"/>
          <w:sz w:val="27"/>
          <w:szCs w:val="27"/>
          <w:lang w:val="es-UY" w:eastAsia="es-UY"/>
        </w:rPr>
        <w:t>”… El segundo y el cuarto mandato suponen una reacción de Dios ante el hecho motivada por el “</w:t>
      </w:r>
      <w:r w:rsidRPr="00C7222B">
        <w:rPr>
          <w:rFonts w:ascii="Arial" w:eastAsia="Times New Roman" w:hAnsi="Arial" w:cs="Arial"/>
          <w:i/>
          <w:iCs/>
          <w:color w:val="000000"/>
          <w:sz w:val="27"/>
          <w:szCs w:val="27"/>
          <w:lang w:val="es-UY" w:eastAsia="es-UY"/>
        </w:rPr>
        <w:t>clamor</w:t>
      </w:r>
      <w:r w:rsidRPr="00C7222B">
        <w:rPr>
          <w:rFonts w:ascii="Arial" w:eastAsia="Times New Roman" w:hAnsi="Arial" w:cs="Arial"/>
          <w:color w:val="000000"/>
          <w:sz w:val="27"/>
          <w:szCs w:val="27"/>
          <w:lang w:val="es-UY" w:eastAsia="es-UY"/>
        </w:rPr>
        <w:t>” (vv.22.26). Lo común en los cuatro mandatos refiere a la actitud frente al débil o al pobre: forastero, viuda-huérfano, pobre.</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El primer texto alude al forastero en un característico contraste: “</w:t>
      </w:r>
      <w:r w:rsidRPr="00C7222B">
        <w:rPr>
          <w:rFonts w:ascii="Arial" w:eastAsia="Times New Roman" w:hAnsi="Arial" w:cs="Arial"/>
          <w:i/>
          <w:iCs/>
          <w:color w:val="000000"/>
          <w:sz w:val="27"/>
          <w:szCs w:val="27"/>
          <w:lang w:val="es-UY" w:eastAsia="es-UY"/>
        </w:rPr>
        <w:t>ustedes fueron forasteros en Egipto</w:t>
      </w:r>
      <w:r w:rsidRPr="00C7222B">
        <w:rPr>
          <w:rFonts w:ascii="Arial" w:eastAsia="Times New Roman" w:hAnsi="Arial" w:cs="Arial"/>
          <w:color w:val="000000"/>
          <w:sz w:val="27"/>
          <w:szCs w:val="27"/>
          <w:lang w:val="es-UY" w:eastAsia="es-UY"/>
        </w:rPr>
        <w:t xml:space="preserve">” (v.10; cf. 23,29; Lev 19,34; </w:t>
      </w:r>
      <w:proofErr w:type="spellStart"/>
      <w:r w:rsidRPr="00C7222B">
        <w:rPr>
          <w:rFonts w:ascii="Arial" w:eastAsia="Times New Roman" w:hAnsi="Arial" w:cs="Arial"/>
          <w:color w:val="000000"/>
          <w:sz w:val="27"/>
          <w:szCs w:val="27"/>
          <w:lang w:val="es-UY" w:eastAsia="es-UY"/>
        </w:rPr>
        <w:t>Dt</w:t>
      </w:r>
      <w:proofErr w:type="spellEnd"/>
      <w:r w:rsidRPr="00C7222B">
        <w:rPr>
          <w:rFonts w:ascii="Arial" w:eastAsia="Times New Roman" w:hAnsi="Arial" w:cs="Arial"/>
          <w:color w:val="000000"/>
          <w:sz w:val="27"/>
          <w:szCs w:val="27"/>
          <w:lang w:val="es-UY" w:eastAsia="es-UY"/>
        </w:rPr>
        <w:t xml:space="preserve"> 10,19); supieron allí lo que fue el maltrato, por lo que no han de maltratar a los emigrantes. El dolor causado por el faraón, motivo – y aquí está </w:t>
      </w:r>
      <w:r w:rsidRPr="00C7222B">
        <w:rPr>
          <w:rFonts w:ascii="Arial" w:eastAsia="Times New Roman" w:hAnsi="Arial" w:cs="Arial"/>
          <w:color w:val="000000"/>
          <w:sz w:val="27"/>
          <w:szCs w:val="27"/>
          <w:lang w:val="es-UY" w:eastAsia="es-UY"/>
        </w:rPr>
        <w:lastRenderedPageBreak/>
        <w:t>supuesto – el “clamor” del pueblo que motivó la acción liberadora de Dios.</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 xml:space="preserve">La norma prohíbe, a continuación, “oprimir” a la viuda y al huérfano que son paradigma de pobres por desprotección en Israel. “Oprimido” fue el pueblo en Egipto (Ex 1,11). Y el grito de los oprimidos (¡clamor!) llega a los oídos del Dios compasivo de Israel (Ex 2,23; 3,7.9). Y Dios dará a los opresores lo mismo que ellos producen (“ojo por ojo”, cf. Ex 21,24; Lev 24,20; </w:t>
      </w:r>
      <w:proofErr w:type="spellStart"/>
      <w:r w:rsidRPr="00C7222B">
        <w:rPr>
          <w:rFonts w:ascii="Arial" w:eastAsia="Times New Roman" w:hAnsi="Arial" w:cs="Arial"/>
          <w:color w:val="000000"/>
          <w:sz w:val="27"/>
          <w:szCs w:val="27"/>
          <w:lang w:val="es-UY" w:eastAsia="es-UY"/>
        </w:rPr>
        <w:t>Dt</w:t>
      </w:r>
      <w:proofErr w:type="spellEnd"/>
      <w:r w:rsidRPr="00C7222B">
        <w:rPr>
          <w:rFonts w:ascii="Arial" w:eastAsia="Times New Roman" w:hAnsi="Arial" w:cs="Arial"/>
          <w:color w:val="000000"/>
          <w:sz w:val="27"/>
          <w:szCs w:val="27"/>
          <w:lang w:val="es-UY" w:eastAsia="es-UY"/>
        </w:rPr>
        <w:t xml:space="preserve"> 21,19), sus mujeres quedarán “viudas” y sus hijos “huérfanos”.</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 xml:space="preserve">El préstamo a usura está seriamente condenado en el seno de Israel (= “prójimos”; no así a los extranjeros, </w:t>
      </w:r>
      <w:proofErr w:type="spellStart"/>
      <w:r w:rsidRPr="00C7222B">
        <w:rPr>
          <w:rFonts w:ascii="Arial" w:eastAsia="Times New Roman" w:hAnsi="Arial" w:cs="Arial"/>
          <w:color w:val="000000"/>
          <w:sz w:val="27"/>
          <w:szCs w:val="27"/>
          <w:lang w:val="es-UY" w:eastAsia="es-UY"/>
        </w:rPr>
        <w:t>Dt</w:t>
      </w:r>
      <w:proofErr w:type="spellEnd"/>
      <w:r w:rsidRPr="00C7222B">
        <w:rPr>
          <w:rFonts w:ascii="Arial" w:eastAsia="Times New Roman" w:hAnsi="Arial" w:cs="Arial"/>
          <w:color w:val="000000"/>
          <w:sz w:val="27"/>
          <w:szCs w:val="27"/>
          <w:lang w:val="es-UY" w:eastAsia="es-UY"/>
        </w:rPr>
        <w:t xml:space="preserve"> 23,21). El préstamo al “hermano” ha de ser simplemente préstamo, no negocio. Del mismo modo, una “prenda”, un objeto tomado en </w:t>
      </w:r>
      <w:proofErr w:type="gramStart"/>
      <w:r w:rsidRPr="00C7222B">
        <w:rPr>
          <w:rFonts w:ascii="Arial" w:eastAsia="Times New Roman" w:hAnsi="Arial" w:cs="Arial"/>
          <w:color w:val="000000"/>
          <w:sz w:val="27"/>
          <w:szCs w:val="27"/>
          <w:lang w:val="es-UY" w:eastAsia="es-UY"/>
        </w:rPr>
        <w:t>garantía,</w:t>
      </w:r>
      <w:proofErr w:type="gramEnd"/>
      <w:r w:rsidRPr="00C7222B">
        <w:rPr>
          <w:rFonts w:ascii="Arial" w:eastAsia="Times New Roman" w:hAnsi="Arial" w:cs="Arial"/>
          <w:color w:val="000000"/>
          <w:sz w:val="27"/>
          <w:szCs w:val="27"/>
          <w:lang w:val="es-UY" w:eastAsia="es-UY"/>
        </w:rPr>
        <w:t xml:space="preserve"> no puede ser lo que el “prójimo” precisa para vivir. El manto del pobre es lo único que posee, por lo que le ha de ser devuelto. Si no, ¿dónde dormirán los pobres? Las necesidades de los hermanos, los pobres, están por encima del derecho del prestamista. Y Dios oficia de “garante”. El frío nocturno provocará un nuevo “clamor” que conmueve al “Dios compasivo”. Es propio de Israel reconocer esa característica de Dios: la compasión (Ex 34,6; 2 </w:t>
      </w:r>
      <w:proofErr w:type="spellStart"/>
      <w:r w:rsidRPr="00C7222B">
        <w:rPr>
          <w:rFonts w:ascii="Arial" w:eastAsia="Times New Roman" w:hAnsi="Arial" w:cs="Arial"/>
          <w:color w:val="000000"/>
          <w:sz w:val="27"/>
          <w:szCs w:val="27"/>
          <w:lang w:val="es-UY" w:eastAsia="es-UY"/>
        </w:rPr>
        <w:t>Cro</w:t>
      </w:r>
      <w:proofErr w:type="spellEnd"/>
      <w:r w:rsidRPr="00C7222B">
        <w:rPr>
          <w:rFonts w:ascii="Arial" w:eastAsia="Times New Roman" w:hAnsi="Arial" w:cs="Arial"/>
          <w:color w:val="000000"/>
          <w:sz w:val="27"/>
          <w:szCs w:val="27"/>
          <w:lang w:val="es-UY" w:eastAsia="es-UY"/>
        </w:rPr>
        <w:t xml:space="preserve"> 30,9; </w:t>
      </w:r>
      <w:proofErr w:type="spellStart"/>
      <w:r w:rsidRPr="00C7222B">
        <w:rPr>
          <w:rFonts w:ascii="Arial" w:eastAsia="Times New Roman" w:hAnsi="Arial" w:cs="Arial"/>
          <w:color w:val="000000"/>
          <w:sz w:val="27"/>
          <w:szCs w:val="27"/>
          <w:lang w:val="es-UY" w:eastAsia="es-UY"/>
        </w:rPr>
        <w:t>Neh</w:t>
      </w:r>
      <w:proofErr w:type="spellEnd"/>
      <w:r w:rsidRPr="00C7222B">
        <w:rPr>
          <w:rFonts w:ascii="Arial" w:eastAsia="Times New Roman" w:hAnsi="Arial" w:cs="Arial"/>
          <w:color w:val="000000"/>
          <w:sz w:val="27"/>
          <w:szCs w:val="27"/>
          <w:lang w:val="es-UY" w:eastAsia="es-UY"/>
        </w:rPr>
        <w:t xml:space="preserve"> 9,17.31; Sal 86,15; 103,8, 111,4, 112,4; 116,5; 145,8; Joel 2,13; Jon 4,2). Y esta compasión lleva a Dios a actuar ante el sufrimiento del necesitado, ante su clamor, siempre en su favor y confrontando con los causantes </w:t>
      </w:r>
      <w:proofErr w:type="gramStart"/>
      <w:r w:rsidRPr="00C7222B">
        <w:rPr>
          <w:rFonts w:ascii="Arial" w:eastAsia="Times New Roman" w:hAnsi="Arial" w:cs="Arial"/>
          <w:color w:val="000000"/>
          <w:sz w:val="27"/>
          <w:szCs w:val="27"/>
          <w:lang w:val="es-UY" w:eastAsia="es-UY"/>
        </w:rPr>
        <w:t>del mismo</w:t>
      </w:r>
      <w:proofErr w:type="gramEnd"/>
      <w:r w:rsidRPr="00C7222B">
        <w:rPr>
          <w:rFonts w:ascii="Arial" w:eastAsia="Times New Roman" w:hAnsi="Arial" w:cs="Arial"/>
          <w:color w:val="000000"/>
          <w:sz w:val="27"/>
          <w:szCs w:val="27"/>
          <w:lang w:val="es-UY" w:eastAsia="es-UY"/>
        </w:rPr>
        <w:t>. Dios no es indiferente, y el obrar de Israel ante el prójimo, particularmente los desprotegidos, debe ser en la misma sintonía.</w:t>
      </w:r>
    </w:p>
    <w:p w:rsidR="00C7222B" w:rsidRPr="00C7222B" w:rsidRDefault="00C7222B" w:rsidP="00C7222B">
      <w:pPr>
        <w:shd w:val="clear" w:color="auto" w:fill="FFFFFF"/>
        <w:spacing w:after="27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b/>
          <w:bCs/>
          <w:color w:val="000000"/>
          <w:sz w:val="27"/>
          <w:szCs w:val="27"/>
          <w:lang w:val="es-UY" w:eastAsia="es-UY"/>
        </w:rPr>
        <w:t>Lectura de la primera carta de san Pablo a los cristianos de Tesalónica</w:t>
      </w:r>
      <w:r w:rsidRPr="00C7222B">
        <w:rPr>
          <w:rFonts w:ascii="Arial" w:eastAsia="Times New Roman" w:hAnsi="Arial" w:cs="Arial"/>
          <w:color w:val="000000"/>
          <w:sz w:val="27"/>
          <w:szCs w:val="27"/>
          <w:lang w:val="es-UY" w:eastAsia="es-UY"/>
        </w:rPr>
        <w:t>     1, 5c-10</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br/>
      </w:r>
      <w:r w:rsidRPr="00C7222B">
        <w:rPr>
          <w:rFonts w:ascii="Arial" w:eastAsia="Times New Roman" w:hAnsi="Arial" w:cs="Arial"/>
          <w:i/>
          <w:iCs/>
          <w:color w:val="000000"/>
          <w:sz w:val="27"/>
          <w:szCs w:val="27"/>
          <w:lang w:val="es-UY" w:eastAsia="es-UY"/>
        </w:rPr>
        <w:br/>
        <w:t>Resumen: El paso de Pablo por Tesalónica, y sus sufrimientos han dado ejemplo a los destinatarios, y la propia tribulación de estos ha servido de ejemplo a los pueblos vecinos. Ejemplo de su aceptación del Dios de Israel que ha enviado a su Hijo, que ha resucitado y que volverá para la salvación.</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br/>
        <w:t>Pablo continúa la acción de gracias que había comenzado la semana pasada. Allí se introducen brevemente elementos que se desarrollarán extensamente en el cuerpo de la carta. Puesto que se trata de una continuidad, se recomienda volver al texto anterior para ver la relación.</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Como señalará en la carta, Pablo remarca cosas que los tesalonicenses “saben” (1,5; 2,1.2.5.11; 3,3.4; 4,2; 5,2). Con excepción del último texto, todos los “saben” aluden a cosas que remiten al paso de Pablo por Tesalónica (el último a la predicación que de él han escuchado). A ese conocimiento refiere Pablo, al conocimiento de la experiencia. Esta experiencia, tanto en cuanto a Pablo cuanto a la posterior recepción está estrechamente ligada a las “tribulaciones” o “dificultades”. Ese es el “ejemplo” que han imitado, y – como Pablo – da testimonio a las demás comunidades de Grecia.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 xml:space="preserve">La fe que tienen, y por la que Pablo ha dado gracias es – a su vez – impulso para el surgimiento o crecimiento de la fe de otras comunidades. Sin embargo, es interesante que en su primer escrito podemos afirmar que Pablo es más </w:t>
      </w:r>
      <w:proofErr w:type="spellStart"/>
      <w:r w:rsidRPr="00C7222B">
        <w:rPr>
          <w:rFonts w:ascii="Arial" w:eastAsia="Times New Roman" w:hAnsi="Arial" w:cs="Arial"/>
          <w:color w:val="000000"/>
          <w:sz w:val="27"/>
          <w:szCs w:val="27"/>
          <w:lang w:val="es-UY" w:eastAsia="es-UY"/>
        </w:rPr>
        <w:t>teo</w:t>
      </w:r>
      <w:proofErr w:type="spellEnd"/>
      <w:r w:rsidRPr="00C7222B">
        <w:rPr>
          <w:rFonts w:ascii="Arial" w:eastAsia="Times New Roman" w:hAnsi="Arial" w:cs="Arial"/>
          <w:color w:val="000000"/>
          <w:sz w:val="27"/>
          <w:szCs w:val="27"/>
          <w:lang w:val="es-UY" w:eastAsia="es-UY"/>
        </w:rPr>
        <w:t xml:space="preserve">-lógico que </w:t>
      </w:r>
      <w:proofErr w:type="gramStart"/>
      <w:r w:rsidRPr="00C7222B">
        <w:rPr>
          <w:rFonts w:ascii="Arial" w:eastAsia="Times New Roman" w:hAnsi="Arial" w:cs="Arial"/>
          <w:color w:val="000000"/>
          <w:sz w:val="27"/>
          <w:szCs w:val="27"/>
          <w:lang w:val="es-UY" w:eastAsia="es-UY"/>
        </w:rPr>
        <w:t>cristo-lógico</w:t>
      </w:r>
      <w:proofErr w:type="gramEnd"/>
      <w:r w:rsidRPr="00C7222B">
        <w:rPr>
          <w:rFonts w:ascii="Arial" w:eastAsia="Times New Roman" w:hAnsi="Arial" w:cs="Arial"/>
          <w:color w:val="000000"/>
          <w:sz w:val="27"/>
          <w:szCs w:val="27"/>
          <w:lang w:val="es-UY" w:eastAsia="es-UY"/>
        </w:rPr>
        <w:t xml:space="preserve">, cosa que se desarrollará más claramente en los siguientes escritos. Se ha dicho a veces, y creemos que no es exacto, que el “kerigma” (primer mensaje) de Pablo refiere a la muerte y resurrección de Cristo (cf. 1 </w:t>
      </w:r>
      <w:proofErr w:type="spellStart"/>
      <w:r w:rsidRPr="00C7222B">
        <w:rPr>
          <w:rFonts w:ascii="Arial" w:eastAsia="Times New Roman" w:hAnsi="Arial" w:cs="Arial"/>
          <w:color w:val="000000"/>
          <w:sz w:val="27"/>
          <w:szCs w:val="27"/>
          <w:lang w:val="es-UY" w:eastAsia="es-UY"/>
        </w:rPr>
        <w:t>Cor</w:t>
      </w:r>
      <w:proofErr w:type="spellEnd"/>
      <w:r w:rsidRPr="00C7222B">
        <w:rPr>
          <w:rFonts w:ascii="Arial" w:eastAsia="Times New Roman" w:hAnsi="Arial" w:cs="Arial"/>
          <w:color w:val="000000"/>
          <w:sz w:val="27"/>
          <w:szCs w:val="27"/>
          <w:lang w:val="es-UY" w:eastAsia="es-UY"/>
        </w:rPr>
        <w:t xml:space="preserve"> 15,3-4), sin tener en cuenta – como en todas las cartas – el contexto en el que Pablo afirma esto. En el texto que comentamos, Pablo alude a otro aspecto que, sin duda, ha de haber sido anterior al anuncio de Cristo: el abandono de los </w:t>
      </w:r>
      <w:r w:rsidRPr="00C7222B">
        <w:rPr>
          <w:rFonts w:ascii="Arial" w:eastAsia="Times New Roman" w:hAnsi="Arial" w:cs="Arial"/>
          <w:i/>
          <w:iCs/>
          <w:color w:val="000000"/>
          <w:sz w:val="27"/>
          <w:szCs w:val="27"/>
          <w:lang w:val="es-UY" w:eastAsia="es-UY"/>
        </w:rPr>
        <w:t>ídolos</w:t>
      </w:r>
      <w:r w:rsidRPr="00C7222B">
        <w:rPr>
          <w:rFonts w:ascii="Arial" w:eastAsia="Times New Roman" w:hAnsi="Arial" w:cs="Arial"/>
          <w:color w:val="000000"/>
          <w:sz w:val="27"/>
          <w:szCs w:val="27"/>
          <w:lang w:val="es-UY" w:eastAsia="es-UY"/>
        </w:rPr>
        <w:t> (si Pablo predica a paganos, sin duda el monoteísmo parece anterior y prioritario al anuncio de la muerte-resurrección “según las escrituras”, dirigido a politeístas que, además, no aceptaban las escrituras) “</w:t>
      </w:r>
      <w:r w:rsidRPr="00C7222B">
        <w:rPr>
          <w:rFonts w:ascii="Arial" w:eastAsia="Times New Roman" w:hAnsi="Arial" w:cs="Arial"/>
          <w:i/>
          <w:iCs/>
          <w:color w:val="000000"/>
          <w:sz w:val="27"/>
          <w:szCs w:val="27"/>
          <w:lang w:val="es-UY" w:eastAsia="es-UY"/>
        </w:rPr>
        <w:t>para servir a Dios vivo y verdadero</w:t>
      </w:r>
      <w:r w:rsidRPr="00C7222B">
        <w:rPr>
          <w:rFonts w:ascii="Arial" w:eastAsia="Times New Roman" w:hAnsi="Arial" w:cs="Arial"/>
          <w:color w:val="000000"/>
          <w:sz w:val="27"/>
          <w:szCs w:val="27"/>
          <w:lang w:val="es-UY" w:eastAsia="es-UY"/>
        </w:rPr>
        <w:t xml:space="preserve">” (v.9). Una vez aceptado el Dios único sí cabe “esperar” a su hijo que ha “de venir”, ya que “lo resucitó” y “nos salva”. Se ha dicho – aunque puede discutirse, o al menos relativizarse – que Pablo no tiene en cuenta el “Jesús histórico” sino al Cristo de la fe. Es cierto que Pablo no hace mucha alusión al Jesús de la historia, pero en algunos párrafos lo destaca, y pareciera, además, que la referencia a la muerte y la resurrección han de tenerse como una alusión a su </w:t>
      </w:r>
      <w:proofErr w:type="gramStart"/>
      <w:r w:rsidRPr="00C7222B">
        <w:rPr>
          <w:rFonts w:ascii="Arial" w:eastAsia="Times New Roman" w:hAnsi="Arial" w:cs="Arial"/>
          <w:color w:val="000000"/>
          <w:sz w:val="27"/>
          <w:szCs w:val="27"/>
          <w:lang w:val="es-UY" w:eastAsia="es-UY"/>
        </w:rPr>
        <w:t>vida</w:t>
      </w:r>
      <w:proofErr w:type="gramEnd"/>
      <w:r w:rsidRPr="00C7222B">
        <w:rPr>
          <w:rFonts w:ascii="Arial" w:eastAsia="Times New Roman" w:hAnsi="Arial" w:cs="Arial"/>
          <w:color w:val="000000"/>
          <w:sz w:val="27"/>
          <w:szCs w:val="27"/>
          <w:lang w:val="es-UY" w:eastAsia="es-UY"/>
        </w:rPr>
        <w:t xml:space="preserve"> aunque concentrada para destacar lo escatológico, pero no como un desentenderse de esto.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La mención a la Venida merece un párrafo aparte. Pablo alude a esto especialmente en sus primeras cartas (1 Tesalonicenses y 1 Corintios; el término </w:t>
      </w:r>
      <w:proofErr w:type="spellStart"/>
      <w:r w:rsidRPr="00C7222B">
        <w:rPr>
          <w:rFonts w:ascii="Arial" w:eastAsia="Times New Roman" w:hAnsi="Arial" w:cs="Arial"/>
          <w:i/>
          <w:iCs/>
          <w:color w:val="000000"/>
          <w:sz w:val="27"/>
          <w:szCs w:val="27"/>
          <w:lang w:val="es-UY" w:eastAsia="es-UY"/>
        </w:rPr>
        <w:t>parousía</w:t>
      </w:r>
      <w:proofErr w:type="spellEnd"/>
      <w:r w:rsidRPr="00C7222B">
        <w:rPr>
          <w:rFonts w:ascii="Arial" w:eastAsia="Times New Roman" w:hAnsi="Arial" w:cs="Arial"/>
          <w:color w:val="000000"/>
          <w:sz w:val="27"/>
          <w:szCs w:val="27"/>
          <w:lang w:val="es-UY" w:eastAsia="es-UY"/>
        </w:rPr>
        <w:t xml:space="preserve"> alude a la venida de Cristo en 1 Tes 2,19; 3,13; 4,15; 5,23 y en1 </w:t>
      </w:r>
      <w:proofErr w:type="spellStart"/>
      <w:r w:rsidRPr="00C7222B">
        <w:rPr>
          <w:rFonts w:ascii="Arial" w:eastAsia="Times New Roman" w:hAnsi="Arial" w:cs="Arial"/>
          <w:color w:val="000000"/>
          <w:sz w:val="27"/>
          <w:szCs w:val="27"/>
          <w:lang w:val="es-UY" w:eastAsia="es-UY"/>
        </w:rPr>
        <w:t>Cor</w:t>
      </w:r>
      <w:proofErr w:type="spellEnd"/>
      <w:r w:rsidRPr="00C7222B">
        <w:rPr>
          <w:rFonts w:ascii="Arial" w:eastAsia="Times New Roman" w:hAnsi="Arial" w:cs="Arial"/>
          <w:color w:val="000000"/>
          <w:sz w:val="27"/>
          <w:szCs w:val="27"/>
          <w:lang w:val="es-UY" w:eastAsia="es-UY"/>
        </w:rPr>
        <w:t xml:space="preserve"> 15,23, pero en adelante aludirá a la visita de alguna persona o incluso de Pablo mismo: 1 </w:t>
      </w:r>
      <w:proofErr w:type="spellStart"/>
      <w:r w:rsidRPr="00C7222B">
        <w:rPr>
          <w:rFonts w:ascii="Arial" w:eastAsia="Times New Roman" w:hAnsi="Arial" w:cs="Arial"/>
          <w:color w:val="000000"/>
          <w:sz w:val="27"/>
          <w:szCs w:val="27"/>
          <w:lang w:val="es-UY" w:eastAsia="es-UY"/>
        </w:rPr>
        <w:t>Cor</w:t>
      </w:r>
      <w:proofErr w:type="spellEnd"/>
      <w:r w:rsidRPr="00C7222B">
        <w:rPr>
          <w:rFonts w:ascii="Arial" w:eastAsia="Times New Roman" w:hAnsi="Arial" w:cs="Arial"/>
          <w:color w:val="000000"/>
          <w:sz w:val="27"/>
          <w:szCs w:val="27"/>
          <w:lang w:val="es-UY" w:eastAsia="es-UY"/>
        </w:rPr>
        <w:t xml:space="preserve"> 16,17; 2 </w:t>
      </w:r>
      <w:proofErr w:type="spellStart"/>
      <w:r w:rsidRPr="00C7222B">
        <w:rPr>
          <w:rFonts w:ascii="Arial" w:eastAsia="Times New Roman" w:hAnsi="Arial" w:cs="Arial"/>
          <w:color w:val="000000"/>
          <w:sz w:val="27"/>
          <w:szCs w:val="27"/>
          <w:lang w:val="es-UY" w:eastAsia="es-UY"/>
        </w:rPr>
        <w:t>Cor</w:t>
      </w:r>
      <w:proofErr w:type="spellEnd"/>
      <w:r w:rsidRPr="00C7222B">
        <w:rPr>
          <w:rFonts w:ascii="Arial" w:eastAsia="Times New Roman" w:hAnsi="Arial" w:cs="Arial"/>
          <w:color w:val="000000"/>
          <w:sz w:val="27"/>
          <w:szCs w:val="27"/>
          <w:lang w:val="es-UY" w:eastAsia="es-UY"/>
        </w:rPr>
        <w:t xml:space="preserve"> 7,6.7; 10,10; Fil 1,26; 2,12). Sin duda el entusiasmo y consagración misionero de Pablo se encuentra reforzado por la expectativa en una venida inminente de Jesús.</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br/>
        <w:t>  </w:t>
      </w:r>
    </w:p>
    <w:p w:rsidR="00C7222B" w:rsidRPr="00C7222B" w:rsidRDefault="00C7222B" w:rsidP="00C7222B">
      <w:pPr>
        <w:shd w:val="clear" w:color="auto" w:fill="FFFFFF"/>
        <w:spacing w:after="240" w:line="240" w:lineRule="auto"/>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 </w:t>
      </w:r>
      <w:r w:rsidRPr="00C7222B">
        <w:rPr>
          <w:rFonts w:ascii="Arial" w:eastAsia="Times New Roman" w:hAnsi="Arial" w:cs="Arial"/>
          <w:b/>
          <w:bCs/>
          <w:color w:val="000000"/>
          <w:sz w:val="27"/>
          <w:szCs w:val="27"/>
          <w:lang w:val="es-UY" w:eastAsia="es-UY"/>
        </w:rPr>
        <w:t>Evangelio según san Mateo</w:t>
      </w:r>
      <w:r w:rsidRPr="00C7222B">
        <w:rPr>
          <w:rFonts w:ascii="Arial" w:eastAsia="Times New Roman" w:hAnsi="Arial" w:cs="Arial"/>
          <w:color w:val="000000"/>
          <w:sz w:val="27"/>
          <w:szCs w:val="27"/>
          <w:lang w:val="es-UY" w:eastAsia="es-UY"/>
        </w:rPr>
        <w:t>     22, 34-40</w:t>
      </w:r>
      <w:r w:rsidRPr="00C7222B">
        <w:rPr>
          <w:rFonts w:ascii="Arial" w:eastAsia="Times New Roman" w:hAnsi="Arial" w:cs="Arial"/>
          <w:color w:val="000000"/>
          <w:sz w:val="27"/>
          <w:szCs w:val="27"/>
          <w:lang w:val="es-UY" w:eastAsia="es-UY"/>
        </w:rPr>
        <w:br/>
      </w:r>
      <w:r w:rsidRPr="00C7222B">
        <w:rPr>
          <w:rFonts w:ascii="Arial" w:eastAsia="Times New Roman" w:hAnsi="Arial" w:cs="Arial"/>
          <w:color w:val="000000"/>
          <w:sz w:val="27"/>
          <w:szCs w:val="27"/>
          <w:lang w:val="es-UY" w:eastAsia="es-UY"/>
        </w:rPr>
        <w:br/>
      </w:r>
      <w:r w:rsidRPr="00C7222B">
        <w:rPr>
          <w:rFonts w:ascii="Arial" w:eastAsia="Times New Roman" w:hAnsi="Arial" w:cs="Arial"/>
          <w:i/>
          <w:iCs/>
          <w:color w:val="000000"/>
          <w:sz w:val="27"/>
          <w:szCs w:val="27"/>
          <w:lang w:val="es-UY" w:eastAsia="es-UY"/>
        </w:rPr>
        <w:t>Resumen: Un fariseo quiere poner a prueba a Jesús preguntándole sobre el mandamiento mayor. El amor a Dios y al prójimo sostienen todas las Escrituras</w:t>
      </w:r>
      <w:r w:rsidRPr="00C7222B">
        <w:rPr>
          <w:rFonts w:ascii="Arial" w:eastAsia="Times New Roman" w:hAnsi="Arial" w:cs="Arial"/>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 xml:space="preserve">En el Evangelio de Marcos el tercer diálogo que se le presenta a Jesús al llegar a Jerusalén es con un escriba; se </w:t>
      </w:r>
      <w:proofErr w:type="gramStart"/>
      <w:r w:rsidRPr="00C7222B">
        <w:rPr>
          <w:rFonts w:ascii="Arial" w:eastAsia="Times New Roman" w:hAnsi="Arial" w:cs="Arial"/>
          <w:color w:val="000000"/>
          <w:sz w:val="27"/>
          <w:szCs w:val="27"/>
          <w:lang w:val="es-UY" w:eastAsia="es-UY"/>
        </w:rPr>
        <w:t>trata</w:t>
      </w:r>
      <w:proofErr w:type="gramEnd"/>
      <w:r w:rsidRPr="00C7222B">
        <w:rPr>
          <w:rFonts w:ascii="Arial" w:eastAsia="Times New Roman" w:hAnsi="Arial" w:cs="Arial"/>
          <w:color w:val="000000"/>
          <w:sz w:val="27"/>
          <w:szCs w:val="27"/>
          <w:lang w:val="es-UY" w:eastAsia="es-UY"/>
        </w:rPr>
        <w:t xml:space="preserve"> además, en este caso, simplemente de una pregunta sin intencionalidad polémica. En </w:t>
      </w:r>
      <w:proofErr w:type="gramStart"/>
      <w:r w:rsidRPr="00C7222B">
        <w:rPr>
          <w:rFonts w:ascii="Arial" w:eastAsia="Times New Roman" w:hAnsi="Arial" w:cs="Arial"/>
          <w:color w:val="000000"/>
          <w:sz w:val="27"/>
          <w:szCs w:val="27"/>
          <w:lang w:val="es-UY" w:eastAsia="es-UY"/>
        </w:rPr>
        <w:t>cambio</w:t>
      </w:r>
      <w:proofErr w:type="gramEnd"/>
      <w:r w:rsidRPr="00C7222B">
        <w:rPr>
          <w:rFonts w:ascii="Arial" w:eastAsia="Times New Roman" w:hAnsi="Arial" w:cs="Arial"/>
          <w:color w:val="000000"/>
          <w:sz w:val="27"/>
          <w:szCs w:val="27"/>
          <w:lang w:val="es-UY" w:eastAsia="es-UY"/>
        </w:rPr>
        <w:t xml:space="preserve"> Mateo, como es propio de su teología señala que el interrogador proviene de uno de entre los fariseos que se habían reunido “en grupo”. La pregunta, se destaca expresamente, es “tentándolo”. No es evidente cuál sería la “tentación” ya que la pregunta es normal y hasta razonable. Siendo que los judíos tienen un número muy grande de mandamientos [613], tratar de saber cuál es el “más grande” (</w:t>
      </w:r>
      <w:proofErr w:type="spellStart"/>
      <w:r w:rsidRPr="00C7222B">
        <w:rPr>
          <w:rFonts w:ascii="Arial" w:eastAsia="Times New Roman" w:hAnsi="Arial" w:cs="Arial"/>
          <w:i/>
          <w:iCs/>
          <w:color w:val="000000"/>
          <w:sz w:val="27"/>
          <w:szCs w:val="27"/>
          <w:lang w:val="es-UY" w:eastAsia="es-UY"/>
        </w:rPr>
        <w:t>megalê</w:t>
      </w:r>
      <w:proofErr w:type="spellEnd"/>
      <w:r w:rsidRPr="00C7222B">
        <w:rPr>
          <w:rFonts w:ascii="Arial" w:eastAsia="Times New Roman" w:hAnsi="Arial" w:cs="Arial"/>
          <w:color w:val="000000"/>
          <w:sz w:val="27"/>
          <w:szCs w:val="27"/>
          <w:lang w:val="es-UY" w:eastAsia="es-UY"/>
        </w:rPr>
        <w:t>) de la Ley es comprensible. El texto de Mateo reduce ligeramente el de Marcos donde el mandamiento (con una ligera modificación, que Mateo mantiene: se agrega “</w:t>
      </w:r>
      <w:r w:rsidRPr="00C7222B">
        <w:rPr>
          <w:rFonts w:ascii="Arial" w:eastAsia="Times New Roman" w:hAnsi="Arial" w:cs="Arial"/>
          <w:i/>
          <w:iCs/>
          <w:color w:val="000000"/>
          <w:sz w:val="27"/>
          <w:szCs w:val="27"/>
          <w:lang w:val="es-UY" w:eastAsia="es-UY"/>
        </w:rPr>
        <w:t>toda tu mente</w:t>
      </w:r>
      <w:r w:rsidRPr="00C7222B">
        <w:rPr>
          <w:rFonts w:ascii="Arial" w:eastAsia="Times New Roman" w:hAnsi="Arial" w:cs="Arial"/>
          <w:color w:val="000000"/>
          <w:sz w:val="27"/>
          <w:szCs w:val="27"/>
          <w:lang w:val="es-UY" w:eastAsia="es-UY"/>
        </w:rPr>
        <w:t>”) es más extenso, tomado de Deuteronomio 6,5. La pregunta de Marcos por “el primero” no parece que sea sustancialmente diferente de la pregunta por el “</w:t>
      </w:r>
      <w:r w:rsidRPr="00C7222B">
        <w:rPr>
          <w:rFonts w:ascii="Arial" w:eastAsia="Times New Roman" w:hAnsi="Arial" w:cs="Arial"/>
          <w:i/>
          <w:iCs/>
          <w:color w:val="000000"/>
          <w:sz w:val="27"/>
          <w:szCs w:val="27"/>
          <w:lang w:val="es-UY" w:eastAsia="es-UY"/>
        </w:rPr>
        <w:t>mayor</w:t>
      </w:r>
      <w:r w:rsidRPr="00C7222B">
        <w:rPr>
          <w:rFonts w:ascii="Arial" w:eastAsia="Times New Roman" w:hAnsi="Arial" w:cs="Arial"/>
          <w:color w:val="000000"/>
          <w:sz w:val="27"/>
          <w:szCs w:val="27"/>
          <w:lang w:val="es-UY" w:eastAsia="es-UY"/>
        </w:rPr>
        <w:t>” (por eso en la respuesta Jesús afirma que es “</w:t>
      </w:r>
      <w:r w:rsidRPr="00C7222B">
        <w:rPr>
          <w:rFonts w:ascii="Arial" w:eastAsia="Times New Roman" w:hAnsi="Arial" w:cs="Arial"/>
          <w:i/>
          <w:iCs/>
          <w:color w:val="000000"/>
          <w:sz w:val="27"/>
          <w:szCs w:val="27"/>
          <w:lang w:val="es-UY" w:eastAsia="es-UY"/>
        </w:rPr>
        <w:t>el mayor y el primero</w:t>
      </w:r>
      <w:r w:rsidRPr="00C7222B">
        <w:rPr>
          <w:rFonts w:ascii="Arial" w:eastAsia="Times New Roman" w:hAnsi="Arial" w:cs="Arial"/>
          <w:color w:val="000000"/>
          <w:sz w:val="27"/>
          <w:szCs w:val="27"/>
          <w:lang w:val="es-UY" w:eastAsia="es-UY"/>
        </w:rPr>
        <w:t xml:space="preserve">”, v.38). De </w:t>
      </w:r>
      <w:proofErr w:type="gramStart"/>
      <w:r w:rsidRPr="00C7222B">
        <w:rPr>
          <w:rFonts w:ascii="Arial" w:eastAsia="Times New Roman" w:hAnsi="Arial" w:cs="Arial"/>
          <w:color w:val="000000"/>
          <w:sz w:val="27"/>
          <w:szCs w:val="27"/>
          <w:lang w:val="es-UY" w:eastAsia="es-UY"/>
        </w:rPr>
        <w:t>hecho</w:t>
      </w:r>
      <w:proofErr w:type="gramEnd"/>
      <w:r w:rsidRPr="00C7222B">
        <w:rPr>
          <w:rFonts w:ascii="Arial" w:eastAsia="Times New Roman" w:hAnsi="Arial" w:cs="Arial"/>
          <w:color w:val="000000"/>
          <w:sz w:val="27"/>
          <w:szCs w:val="27"/>
          <w:lang w:val="es-UY" w:eastAsia="es-UY"/>
        </w:rPr>
        <w:t xml:space="preserve"> Jesús alude luego al</w:t>
      </w:r>
      <w:r w:rsidRPr="00C7222B">
        <w:rPr>
          <w:rFonts w:ascii="Arial" w:eastAsia="Times New Roman" w:hAnsi="Arial" w:cs="Arial"/>
          <w:i/>
          <w:iCs/>
          <w:color w:val="000000"/>
          <w:sz w:val="27"/>
          <w:szCs w:val="27"/>
          <w:lang w:val="es-UY" w:eastAsia="es-UY"/>
        </w:rPr>
        <w:t> "segundo</w:t>
      </w:r>
      <w:r w:rsidRPr="00C7222B">
        <w:rPr>
          <w:rFonts w:ascii="Arial" w:eastAsia="Times New Roman" w:hAnsi="Arial" w:cs="Arial"/>
          <w:color w:val="000000"/>
          <w:sz w:val="27"/>
          <w:szCs w:val="27"/>
          <w:lang w:val="es-UY" w:eastAsia="es-UY"/>
        </w:rPr>
        <w:t>” (en Mt y en Mc) aunque Mateo destaca que “</w:t>
      </w:r>
      <w:r w:rsidRPr="00C7222B">
        <w:rPr>
          <w:rFonts w:ascii="Arial" w:eastAsia="Times New Roman" w:hAnsi="Arial" w:cs="Arial"/>
          <w:i/>
          <w:iCs/>
          <w:color w:val="000000"/>
          <w:sz w:val="27"/>
          <w:szCs w:val="27"/>
          <w:lang w:val="es-UY" w:eastAsia="es-UY"/>
        </w:rPr>
        <w:t>es semejante</w:t>
      </w:r>
      <w:r w:rsidRPr="00C7222B">
        <w:rPr>
          <w:rFonts w:ascii="Arial" w:eastAsia="Times New Roman" w:hAnsi="Arial" w:cs="Arial"/>
          <w:color w:val="000000"/>
          <w:sz w:val="27"/>
          <w:szCs w:val="27"/>
          <w:lang w:val="es-UY" w:eastAsia="es-UY"/>
        </w:rPr>
        <w:t>”, reforzando el paralelismo que Marcos solo señalaba al ponerlos juntos.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La unión de ambos textos bíblicos (</w:t>
      </w:r>
      <w:proofErr w:type="spellStart"/>
      <w:r w:rsidRPr="00C7222B">
        <w:rPr>
          <w:rFonts w:ascii="Arial" w:eastAsia="Times New Roman" w:hAnsi="Arial" w:cs="Arial"/>
          <w:color w:val="000000"/>
          <w:sz w:val="27"/>
          <w:szCs w:val="27"/>
          <w:lang w:val="es-UY" w:eastAsia="es-UY"/>
        </w:rPr>
        <w:t>Dt</w:t>
      </w:r>
      <w:proofErr w:type="spellEnd"/>
      <w:r w:rsidRPr="00C7222B">
        <w:rPr>
          <w:rFonts w:ascii="Arial" w:eastAsia="Times New Roman" w:hAnsi="Arial" w:cs="Arial"/>
          <w:color w:val="000000"/>
          <w:sz w:val="27"/>
          <w:szCs w:val="27"/>
          <w:lang w:val="es-UY" w:eastAsia="es-UY"/>
        </w:rPr>
        <w:t xml:space="preserve"> 6,5 y Lev 19,18.34), del amor a Dios y al prójimo, no es algo exclusivo del Nuevo Testamento:</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ind w:left="708"/>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4"/>
          <w:szCs w:val="24"/>
          <w:lang w:val="es-UY" w:eastAsia="es-UY"/>
        </w:rPr>
        <w:t>“</w:t>
      </w:r>
      <w:r w:rsidRPr="00C7222B">
        <w:rPr>
          <w:rFonts w:ascii="Arial" w:eastAsia="Times New Roman" w:hAnsi="Arial" w:cs="Arial"/>
          <w:i/>
          <w:iCs/>
          <w:color w:val="000000"/>
          <w:sz w:val="24"/>
          <w:szCs w:val="24"/>
          <w:lang w:val="es-UY" w:eastAsia="es-UY"/>
        </w:rPr>
        <w:t>Guarden la ley de Dios, hijos míos, y consigan la sencillez; caminen sin malicia, no indagando indiscretamente en los mandamientos de Dios ni en las acciones del prójimo. Amen, por el contrario, al Señor y al prójimo y tengan compasión del pobre y del débil</w:t>
      </w:r>
      <w:r w:rsidRPr="00C7222B">
        <w:rPr>
          <w:rFonts w:ascii="Arial" w:eastAsia="Times New Roman" w:hAnsi="Arial" w:cs="Arial"/>
          <w:color w:val="000000"/>
          <w:sz w:val="24"/>
          <w:szCs w:val="24"/>
          <w:lang w:val="es-UY" w:eastAsia="es-UY"/>
        </w:rPr>
        <w:t xml:space="preserve">” (Testamento de </w:t>
      </w:r>
      <w:proofErr w:type="spellStart"/>
      <w:r w:rsidRPr="00C7222B">
        <w:rPr>
          <w:rFonts w:ascii="Arial" w:eastAsia="Times New Roman" w:hAnsi="Arial" w:cs="Arial"/>
          <w:color w:val="000000"/>
          <w:sz w:val="24"/>
          <w:szCs w:val="24"/>
          <w:lang w:val="es-UY" w:eastAsia="es-UY"/>
        </w:rPr>
        <w:t>Isacar</w:t>
      </w:r>
      <w:proofErr w:type="spellEnd"/>
      <w:r w:rsidRPr="00C7222B">
        <w:rPr>
          <w:rFonts w:ascii="Arial" w:eastAsia="Times New Roman" w:hAnsi="Arial" w:cs="Arial"/>
          <w:color w:val="000000"/>
          <w:sz w:val="24"/>
          <w:szCs w:val="24"/>
          <w:lang w:val="es-UY" w:eastAsia="es-UY"/>
        </w:rPr>
        <w:t xml:space="preserve"> 5,1-2).</w:t>
      </w:r>
    </w:p>
    <w:p w:rsidR="00C7222B" w:rsidRPr="00C7222B" w:rsidRDefault="00C7222B" w:rsidP="00C7222B">
      <w:pPr>
        <w:shd w:val="clear" w:color="auto" w:fill="FFFFFF"/>
        <w:spacing w:after="0" w:line="240" w:lineRule="auto"/>
        <w:ind w:left="708"/>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ind w:left="708"/>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4"/>
          <w:szCs w:val="24"/>
          <w:lang w:val="es-UY" w:eastAsia="es-UY"/>
        </w:rPr>
        <w:t>“</w:t>
      </w:r>
      <w:r w:rsidRPr="00C7222B">
        <w:rPr>
          <w:rFonts w:ascii="Arial" w:eastAsia="Times New Roman" w:hAnsi="Arial" w:cs="Arial"/>
          <w:i/>
          <w:iCs/>
          <w:color w:val="000000"/>
          <w:sz w:val="24"/>
          <w:szCs w:val="24"/>
          <w:lang w:val="es-UY" w:eastAsia="es-UY"/>
        </w:rPr>
        <w:t>Amé al Señor con todas mis fuerzas, e igualmente a los hombres como a mis hijos</w:t>
      </w:r>
      <w:r w:rsidRPr="00C7222B">
        <w:rPr>
          <w:rFonts w:ascii="Arial" w:eastAsia="Times New Roman" w:hAnsi="Arial" w:cs="Arial"/>
          <w:color w:val="000000"/>
          <w:sz w:val="24"/>
          <w:szCs w:val="24"/>
          <w:lang w:val="es-UY" w:eastAsia="es-UY"/>
        </w:rPr>
        <w:t xml:space="preserve">”. (Test. </w:t>
      </w:r>
      <w:proofErr w:type="spellStart"/>
      <w:r w:rsidRPr="00C7222B">
        <w:rPr>
          <w:rFonts w:ascii="Arial" w:eastAsia="Times New Roman" w:hAnsi="Arial" w:cs="Arial"/>
          <w:color w:val="000000"/>
          <w:sz w:val="24"/>
          <w:szCs w:val="24"/>
          <w:lang w:val="es-UY" w:eastAsia="es-UY"/>
        </w:rPr>
        <w:t>Isacar</w:t>
      </w:r>
      <w:proofErr w:type="spellEnd"/>
      <w:r w:rsidRPr="00C7222B">
        <w:rPr>
          <w:rFonts w:ascii="Arial" w:eastAsia="Times New Roman" w:hAnsi="Arial" w:cs="Arial"/>
          <w:color w:val="000000"/>
          <w:sz w:val="24"/>
          <w:szCs w:val="24"/>
          <w:lang w:val="es-UY" w:eastAsia="es-UY"/>
        </w:rPr>
        <w:t xml:space="preserve"> 7,6)</w:t>
      </w:r>
    </w:p>
    <w:p w:rsidR="00C7222B" w:rsidRPr="00C7222B" w:rsidRDefault="00C7222B" w:rsidP="00C7222B">
      <w:pPr>
        <w:shd w:val="clear" w:color="auto" w:fill="FFFFFF"/>
        <w:spacing w:after="0" w:line="240" w:lineRule="auto"/>
        <w:ind w:left="708"/>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4"/>
          <w:szCs w:val="24"/>
          <w:lang w:val="es-UY" w:eastAsia="es-UY"/>
        </w:rPr>
        <w:t> </w:t>
      </w:r>
    </w:p>
    <w:p w:rsidR="00C7222B" w:rsidRPr="00C7222B" w:rsidRDefault="00C7222B" w:rsidP="00C7222B">
      <w:pPr>
        <w:shd w:val="clear" w:color="auto" w:fill="FFFFFF"/>
        <w:spacing w:after="0" w:line="240" w:lineRule="auto"/>
        <w:ind w:left="708"/>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4"/>
          <w:szCs w:val="24"/>
          <w:lang w:val="es-UY" w:eastAsia="es-UY"/>
        </w:rPr>
        <w:t>“</w:t>
      </w:r>
      <w:r w:rsidRPr="00C7222B">
        <w:rPr>
          <w:rFonts w:ascii="Arial" w:eastAsia="Times New Roman" w:hAnsi="Arial" w:cs="Arial"/>
          <w:i/>
          <w:iCs/>
          <w:color w:val="000000"/>
          <w:sz w:val="24"/>
          <w:szCs w:val="24"/>
          <w:lang w:val="es-UY" w:eastAsia="es-UY"/>
        </w:rPr>
        <w:t>Guarden, pues, hijos míos, los mandamientos del Señor y observen su ley (…) Amen al Señor durante toda su vida, y unos a otros con un corazón verdadero</w:t>
      </w:r>
      <w:r w:rsidRPr="00C7222B">
        <w:rPr>
          <w:rFonts w:ascii="Arial" w:eastAsia="Times New Roman" w:hAnsi="Arial" w:cs="Arial"/>
          <w:color w:val="000000"/>
          <w:sz w:val="24"/>
          <w:szCs w:val="24"/>
          <w:lang w:val="es-UY" w:eastAsia="es-UY"/>
        </w:rPr>
        <w:t>” (Testamento de Dan 51-4).</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Sin embargo, la novedad que trae Jesús viene dada por la comprensión del “prójimo”. Para el mundo judío – en la tradición de máxima – “prójimo” es todo judío; o solamente los “buenos judíos” (en los grupos más estrictos, como por ejemplo los manuscritos del Mar Muerto donde se habla de “odiar” al que no es “hijo de la luz”; a esto alude Mt 5,43). </w:t>
      </w:r>
    </w:p>
    <w:p w:rsidR="00C7222B" w:rsidRPr="00C7222B" w:rsidRDefault="00C7222B" w:rsidP="00C7222B">
      <w:pPr>
        <w:shd w:val="clear" w:color="auto" w:fill="FFFFFF"/>
        <w:spacing w:after="240" w:line="240" w:lineRule="auto"/>
        <w:rPr>
          <w:rFonts w:ascii="Arial" w:eastAsia="Times New Roman" w:hAnsi="Arial" w:cs="Arial"/>
          <w:color w:val="222222"/>
          <w:sz w:val="24"/>
          <w:szCs w:val="24"/>
          <w:lang w:val="es-UY" w:eastAsia="es-UY"/>
        </w:rPr>
      </w:pPr>
    </w:p>
    <w:p w:rsidR="00C7222B" w:rsidRPr="00C7222B" w:rsidRDefault="00C7222B" w:rsidP="00C7222B">
      <w:pPr>
        <w:shd w:val="clear" w:color="auto" w:fill="FFFFFF"/>
        <w:spacing w:after="0" w:line="240" w:lineRule="auto"/>
        <w:ind w:left="708"/>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w:t>
      </w:r>
      <w:r w:rsidRPr="00C7222B">
        <w:rPr>
          <w:rFonts w:ascii="Arial" w:eastAsia="Times New Roman" w:hAnsi="Arial" w:cs="Arial"/>
          <w:i/>
          <w:iCs/>
          <w:color w:val="000000"/>
          <w:sz w:val="27"/>
          <w:szCs w:val="27"/>
          <w:lang w:val="es-UY" w:eastAsia="es-UY"/>
        </w:rPr>
        <w:t>amar a todos los hijos de la luz, cada uno según su lote en el plan de Dios, y odiar a todos los hijos de las tinieblas, cada uno según su culpa en la venganza de Dios</w:t>
      </w:r>
      <w:r w:rsidRPr="00C7222B">
        <w:rPr>
          <w:rFonts w:ascii="Arial" w:eastAsia="Times New Roman" w:hAnsi="Arial" w:cs="Arial"/>
          <w:color w:val="000000"/>
          <w:sz w:val="27"/>
          <w:szCs w:val="27"/>
          <w:lang w:val="es-UY" w:eastAsia="es-UY"/>
        </w:rPr>
        <w:t>” (Regla de la comunidad, 1QS 1,9-10)</w:t>
      </w:r>
    </w:p>
    <w:p w:rsidR="00C7222B" w:rsidRPr="00C7222B" w:rsidRDefault="00C7222B" w:rsidP="00C7222B">
      <w:pPr>
        <w:shd w:val="clear" w:color="auto" w:fill="FFFFFF"/>
        <w:spacing w:after="0" w:line="240" w:lineRule="auto"/>
        <w:ind w:left="708"/>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ind w:left="708"/>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w:t>
      </w:r>
      <w:r w:rsidRPr="00C7222B">
        <w:rPr>
          <w:rFonts w:ascii="Arial" w:eastAsia="Times New Roman" w:hAnsi="Arial" w:cs="Arial"/>
          <w:i/>
          <w:iCs/>
          <w:color w:val="000000"/>
          <w:sz w:val="27"/>
          <w:szCs w:val="27"/>
          <w:lang w:val="es-UY" w:eastAsia="es-UY"/>
        </w:rPr>
        <w:t>Y estas son las disposiciones de conducta para el Instructor en estos tiempos, sobre el amor y su odio. Odio eterno con los hombres de la fosa</w:t>
      </w:r>
      <w:r w:rsidRPr="00C7222B">
        <w:rPr>
          <w:rFonts w:ascii="Arial" w:eastAsia="Times New Roman" w:hAnsi="Arial" w:cs="Arial"/>
          <w:color w:val="000000"/>
          <w:sz w:val="27"/>
          <w:szCs w:val="27"/>
          <w:lang w:val="es-UY" w:eastAsia="es-UY"/>
        </w:rPr>
        <w:t>…” (Regla de la comunidad, 1QS 9,21-22)</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En cambio, en el Evangelio, "prójimo" incluye al enemigo (5,43-48).</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jc w:val="both"/>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 xml:space="preserve">Señalando algo que ya sabemos desde el Sermón de la montaña, donde Jesús destaca que ha venido “a dar cumplimiento” a “la Ley y los Profetas” (5,17), y que hacer a los demás “cuanto quieren que los hombres les hagan”, eso “es la Ley y los Profetas” (7,12). Ambos aspectos aluden sin duda al “amor”, que es su “cumplimiento” (7,13), la “justicia mayor” (7,20), “ser perfectos” (7,48) como se venía insinuando (5,43-46; 6,24); en 19,19 pareciera que el amor al prójimo resume todos los mandamientos. Así lo afirma la carta de Santiago (cercana ideológicamente al Evangelio de Mateo): «Por lo tanto si ustedes cumplen la ley del reino, según lo escrito: amarás a tu prójimo como a ti mismo, procederán bien» (2:8); Pablo destaca que el amor es la ley en plenitud (cf. </w:t>
      </w:r>
      <w:proofErr w:type="spellStart"/>
      <w:r w:rsidRPr="00C7222B">
        <w:rPr>
          <w:rFonts w:ascii="Arial" w:eastAsia="Times New Roman" w:hAnsi="Arial" w:cs="Arial"/>
          <w:color w:val="000000"/>
          <w:sz w:val="27"/>
          <w:szCs w:val="27"/>
          <w:lang w:val="es-UY" w:eastAsia="es-UY"/>
        </w:rPr>
        <w:t>Rom</w:t>
      </w:r>
      <w:proofErr w:type="spellEnd"/>
      <w:r w:rsidRPr="00C7222B">
        <w:rPr>
          <w:rFonts w:ascii="Arial" w:eastAsia="Times New Roman" w:hAnsi="Arial" w:cs="Arial"/>
          <w:color w:val="000000"/>
          <w:sz w:val="27"/>
          <w:szCs w:val="27"/>
          <w:lang w:val="es-UY" w:eastAsia="es-UY"/>
        </w:rPr>
        <w:t xml:space="preserve"> 13,8.10; Gal 5,14). La Ley y los Profetas – es sabido – es el modo en el que los judíos refieren a la misma Biblia [hoy suelen hablar de la “</w:t>
      </w:r>
      <w:proofErr w:type="spellStart"/>
      <w:r w:rsidRPr="00C7222B">
        <w:rPr>
          <w:rFonts w:ascii="Arial" w:eastAsia="Times New Roman" w:hAnsi="Arial" w:cs="Arial"/>
          <w:color w:val="000000"/>
          <w:sz w:val="27"/>
          <w:szCs w:val="27"/>
          <w:lang w:val="es-UY" w:eastAsia="es-UY"/>
        </w:rPr>
        <w:t>TaNaJ</w:t>
      </w:r>
      <w:proofErr w:type="spellEnd"/>
      <w:r w:rsidRPr="00C7222B">
        <w:rPr>
          <w:rFonts w:ascii="Arial" w:eastAsia="Times New Roman" w:hAnsi="Arial" w:cs="Arial"/>
          <w:color w:val="000000"/>
          <w:sz w:val="27"/>
          <w:szCs w:val="27"/>
          <w:lang w:val="es-UY" w:eastAsia="es-UY"/>
        </w:rPr>
        <w:t>” que son las letras de </w:t>
      </w:r>
      <w:r w:rsidRPr="00C7222B">
        <w:rPr>
          <w:rFonts w:ascii="Arial" w:eastAsia="Times New Roman" w:hAnsi="Arial" w:cs="Arial"/>
          <w:i/>
          <w:iCs/>
          <w:color w:val="000000"/>
          <w:sz w:val="27"/>
          <w:szCs w:val="27"/>
          <w:lang w:val="es-UY" w:eastAsia="es-UY"/>
        </w:rPr>
        <w:t>Torá </w:t>
      </w:r>
      <w:r w:rsidRPr="00C7222B">
        <w:rPr>
          <w:rFonts w:ascii="Arial" w:eastAsia="Times New Roman" w:hAnsi="Arial" w:cs="Arial"/>
          <w:color w:val="000000"/>
          <w:sz w:val="27"/>
          <w:szCs w:val="27"/>
          <w:lang w:val="es-UY" w:eastAsia="es-UY"/>
        </w:rPr>
        <w:t>– Ley -, </w:t>
      </w:r>
      <w:proofErr w:type="spellStart"/>
      <w:r w:rsidRPr="00C7222B">
        <w:rPr>
          <w:rFonts w:ascii="Arial" w:eastAsia="Times New Roman" w:hAnsi="Arial" w:cs="Arial"/>
          <w:i/>
          <w:iCs/>
          <w:color w:val="000000"/>
          <w:sz w:val="27"/>
          <w:szCs w:val="27"/>
          <w:lang w:val="es-UY" w:eastAsia="es-UY"/>
        </w:rPr>
        <w:t>Nebiîm</w:t>
      </w:r>
      <w:proofErr w:type="spellEnd"/>
      <w:r w:rsidRPr="00C7222B">
        <w:rPr>
          <w:rFonts w:ascii="Arial" w:eastAsia="Times New Roman" w:hAnsi="Arial" w:cs="Arial"/>
          <w:i/>
          <w:iCs/>
          <w:color w:val="000000"/>
          <w:sz w:val="27"/>
          <w:szCs w:val="27"/>
          <w:lang w:val="es-UY" w:eastAsia="es-UY"/>
        </w:rPr>
        <w:t> </w:t>
      </w:r>
      <w:r w:rsidRPr="00C7222B">
        <w:rPr>
          <w:rFonts w:ascii="Arial" w:eastAsia="Times New Roman" w:hAnsi="Arial" w:cs="Arial"/>
          <w:color w:val="000000"/>
          <w:sz w:val="27"/>
          <w:szCs w:val="27"/>
          <w:lang w:val="es-UY" w:eastAsia="es-UY"/>
        </w:rPr>
        <w:t>– Profetas – y </w:t>
      </w:r>
      <w:proofErr w:type="spellStart"/>
      <w:r w:rsidRPr="00C7222B">
        <w:rPr>
          <w:rFonts w:ascii="Arial" w:eastAsia="Times New Roman" w:hAnsi="Arial" w:cs="Arial"/>
          <w:i/>
          <w:iCs/>
          <w:color w:val="000000"/>
          <w:sz w:val="27"/>
          <w:szCs w:val="27"/>
          <w:lang w:val="es-UY" w:eastAsia="es-UY"/>
        </w:rPr>
        <w:t>Jetubim</w:t>
      </w:r>
      <w:proofErr w:type="spellEnd"/>
      <w:r w:rsidRPr="00C7222B">
        <w:rPr>
          <w:rFonts w:ascii="Arial" w:eastAsia="Times New Roman" w:hAnsi="Arial" w:cs="Arial"/>
          <w:i/>
          <w:iCs/>
          <w:color w:val="000000"/>
          <w:sz w:val="27"/>
          <w:szCs w:val="27"/>
          <w:lang w:val="es-UY" w:eastAsia="es-UY"/>
        </w:rPr>
        <w:t> </w:t>
      </w:r>
      <w:r w:rsidRPr="00C7222B">
        <w:rPr>
          <w:rFonts w:ascii="Arial" w:eastAsia="Times New Roman" w:hAnsi="Arial" w:cs="Arial"/>
          <w:color w:val="000000"/>
          <w:sz w:val="27"/>
          <w:szCs w:val="27"/>
          <w:lang w:val="es-UY" w:eastAsia="es-UY"/>
        </w:rPr>
        <w:t>– los demás escritos]. Toda la Biblia, entonces, está “</w:t>
      </w:r>
      <w:r w:rsidRPr="00C7222B">
        <w:rPr>
          <w:rFonts w:ascii="Arial" w:eastAsia="Times New Roman" w:hAnsi="Arial" w:cs="Arial"/>
          <w:i/>
          <w:iCs/>
          <w:color w:val="000000"/>
          <w:sz w:val="27"/>
          <w:szCs w:val="27"/>
          <w:lang w:val="es-UY" w:eastAsia="es-UY"/>
        </w:rPr>
        <w:t>colgada</w:t>
      </w:r>
      <w:r w:rsidRPr="00C7222B">
        <w:rPr>
          <w:rFonts w:ascii="Arial" w:eastAsia="Times New Roman" w:hAnsi="Arial" w:cs="Arial"/>
          <w:color w:val="000000"/>
          <w:sz w:val="27"/>
          <w:szCs w:val="27"/>
          <w:lang w:val="es-UY" w:eastAsia="es-UY"/>
        </w:rPr>
        <w:t>” de estos dos mandamientos [extrañamente, el verbo “</w:t>
      </w:r>
      <w:r w:rsidRPr="00C7222B">
        <w:rPr>
          <w:rFonts w:ascii="Arial" w:eastAsia="Times New Roman" w:hAnsi="Arial" w:cs="Arial"/>
          <w:i/>
          <w:iCs/>
          <w:color w:val="000000"/>
          <w:sz w:val="27"/>
          <w:szCs w:val="27"/>
          <w:lang w:val="es-UY" w:eastAsia="es-UY"/>
        </w:rPr>
        <w:t>colgar</w:t>
      </w:r>
      <w:r w:rsidRPr="00C7222B">
        <w:rPr>
          <w:rFonts w:ascii="Arial" w:eastAsia="Times New Roman" w:hAnsi="Arial" w:cs="Arial"/>
          <w:color w:val="000000"/>
          <w:sz w:val="27"/>
          <w:szCs w:val="27"/>
          <w:lang w:val="es-UY" w:eastAsia="es-UY"/>
        </w:rPr>
        <w:t>” (</w:t>
      </w:r>
      <w:proofErr w:type="spellStart"/>
      <w:r w:rsidRPr="00C7222B">
        <w:rPr>
          <w:rFonts w:ascii="Arial" w:eastAsia="Times New Roman" w:hAnsi="Arial" w:cs="Arial"/>
          <w:i/>
          <w:iCs/>
          <w:color w:val="000000"/>
          <w:sz w:val="27"/>
          <w:szCs w:val="27"/>
          <w:lang w:val="es-UY" w:eastAsia="es-UY"/>
        </w:rPr>
        <w:t>kremánnumi</w:t>
      </w:r>
      <w:proofErr w:type="spellEnd"/>
      <w:r w:rsidRPr="00C7222B">
        <w:rPr>
          <w:rFonts w:ascii="Arial" w:eastAsia="Times New Roman" w:hAnsi="Arial" w:cs="Arial"/>
          <w:color w:val="000000"/>
          <w:sz w:val="27"/>
          <w:szCs w:val="27"/>
          <w:lang w:val="es-UY" w:eastAsia="es-UY"/>
        </w:rPr>
        <w:t xml:space="preserve">) se utiliza con frecuencia para los “colgados” de un madero, o crucificados: cf. Gen 40,19; </w:t>
      </w:r>
      <w:proofErr w:type="spellStart"/>
      <w:r w:rsidRPr="00C7222B">
        <w:rPr>
          <w:rFonts w:ascii="Arial" w:eastAsia="Times New Roman" w:hAnsi="Arial" w:cs="Arial"/>
          <w:color w:val="000000"/>
          <w:sz w:val="27"/>
          <w:szCs w:val="27"/>
          <w:lang w:val="es-UY" w:eastAsia="es-UY"/>
        </w:rPr>
        <w:t>Dt</w:t>
      </w:r>
      <w:proofErr w:type="spellEnd"/>
      <w:r w:rsidRPr="00C7222B">
        <w:rPr>
          <w:rFonts w:ascii="Arial" w:eastAsia="Times New Roman" w:hAnsi="Arial" w:cs="Arial"/>
          <w:color w:val="000000"/>
          <w:sz w:val="27"/>
          <w:szCs w:val="27"/>
          <w:lang w:val="es-UY" w:eastAsia="es-UY"/>
        </w:rPr>
        <w:t xml:space="preserve"> 21,22; Jos 8,29; 10,26; </w:t>
      </w:r>
      <w:proofErr w:type="spellStart"/>
      <w:r w:rsidRPr="00C7222B">
        <w:rPr>
          <w:rFonts w:ascii="Arial" w:eastAsia="Times New Roman" w:hAnsi="Arial" w:cs="Arial"/>
          <w:color w:val="000000"/>
          <w:sz w:val="27"/>
          <w:szCs w:val="27"/>
          <w:lang w:val="es-UY" w:eastAsia="es-UY"/>
        </w:rPr>
        <w:t>Lc</w:t>
      </w:r>
      <w:proofErr w:type="spellEnd"/>
      <w:r w:rsidRPr="00C7222B">
        <w:rPr>
          <w:rFonts w:ascii="Arial" w:eastAsia="Times New Roman" w:hAnsi="Arial" w:cs="Arial"/>
          <w:color w:val="000000"/>
          <w:sz w:val="27"/>
          <w:szCs w:val="27"/>
          <w:lang w:val="es-UY" w:eastAsia="es-UY"/>
        </w:rPr>
        <w:t xml:space="preserve"> 23,39; </w:t>
      </w:r>
      <w:proofErr w:type="spellStart"/>
      <w:r w:rsidRPr="00C7222B">
        <w:rPr>
          <w:rFonts w:ascii="Arial" w:eastAsia="Times New Roman" w:hAnsi="Arial" w:cs="Arial"/>
          <w:color w:val="000000"/>
          <w:sz w:val="27"/>
          <w:szCs w:val="27"/>
          <w:lang w:val="es-UY" w:eastAsia="es-UY"/>
        </w:rPr>
        <w:t>Hch</w:t>
      </w:r>
      <w:proofErr w:type="spellEnd"/>
      <w:r w:rsidRPr="00C7222B">
        <w:rPr>
          <w:rFonts w:ascii="Arial" w:eastAsia="Times New Roman" w:hAnsi="Arial" w:cs="Arial"/>
          <w:color w:val="000000"/>
          <w:sz w:val="27"/>
          <w:szCs w:val="27"/>
          <w:lang w:val="es-UY" w:eastAsia="es-UY"/>
        </w:rPr>
        <w:t xml:space="preserve"> 5,30; 10,39; Gal 3,13].</w:t>
      </w:r>
    </w:p>
    <w:p w:rsidR="00C7222B" w:rsidRPr="00C7222B" w:rsidRDefault="00C7222B" w:rsidP="00C7222B">
      <w:pPr>
        <w:shd w:val="clear" w:color="auto" w:fill="FFFFFF"/>
        <w:spacing w:after="270" w:line="240" w:lineRule="auto"/>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270" w:line="240" w:lineRule="auto"/>
        <w:rPr>
          <w:rFonts w:ascii="Arial" w:eastAsia="Times New Roman" w:hAnsi="Arial" w:cs="Arial"/>
          <w:color w:val="222222"/>
          <w:sz w:val="24"/>
          <w:szCs w:val="24"/>
          <w:lang w:val="es-UY" w:eastAsia="es-UY"/>
        </w:rPr>
      </w:pPr>
      <w:r w:rsidRPr="00C7222B">
        <w:rPr>
          <w:rFonts w:ascii="Arial" w:eastAsia="Times New Roman" w:hAnsi="Arial" w:cs="Arial"/>
          <w:color w:val="000000"/>
          <w:sz w:val="27"/>
          <w:szCs w:val="27"/>
          <w:lang w:val="es-UY" w:eastAsia="es-UY"/>
        </w:rPr>
        <w:t>Comentario en video:</w:t>
      </w:r>
    </w:p>
    <w:p w:rsidR="00C7222B" w:rsidRPr="00C7222B" w:rsidRDefault="00C7222B" w:rsidP="00C7222B">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hyperlink r:id="rId5" w:tgtFrame="_blank" w:history="1">
        <w:r w:rsidRPr="00C7222B">
          <w:rPr>
            <w:rFonts w:ascii="Arial" w:eastAsia="Times New Roman" w:hAnsi="Arial" w:cs="Arial"/>
            <w:color w:val="1155CC"/>
            <w:sz w:val="27"/>
            <w:szCs w:val="27"/>
            <w:u w:val="single"/>
            <w:lang w:val="es-UY" w:eastAsia="es-UY"/>
          </w:rPr>
          <w:t>https://youtu.be/E5i-AevHhgA</w:t>
        </w:r>
      </w:hyperlink>
    </w:p>
    <w:p w:rsidR="00C7222B" w:rsidRPr="00C7222B" w:rsidRDefault="00C7222B" w:rsidP="00C7222B">
      <w:pPr>
        <w:shd w:val="clear" w:color="auto" w:fill="FFFFFF"/>
        <w:spacing w:after="270" w:line="240" w:lineRule="auto"/>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7"/>
          <w:szCs w:val="27"/>
          <w:lang w:val="es-UY" w:eastAsia="es-UY"/>
        </w:rPr>
        <w:t> </w:t>
      </w:r>
    </w:p>
    <w:p w:rsidR="00C7222B" w:rsidRPr="00C7222B" w:rsidRDefault="00C7222B" w:rsidP="00C7222B">
      <w:pPr>
        <w:shd w:val="clear" w:color="auto" w:fill="FFFFFF"/>
        <w:spacing w:after="0" w:line="240" w:lineRule="auto"/>
        <w:rPr>
          <w:rFonts w:ascii="Arial" w:eastAsia="Times New Roman" w:hAnsi="Arial" w:cs="Arial"/>
          <w:color w:val="222222"/>
          <w:sz w:val="24"/>
          <w:szCs w:val="24"/>
          <w:lang w:val="es-UY" w:eastAsia="es-UY"/>
        </w:rPr>
      </w:pPr>
      <w:r w:rsidRPr="00C7222B">
        <w:rPr>
          <w:rFonts w:ascii="Times New Roman" w:eastAsia="Times New Roman" w:hAnsi="Times New Roman" w:cs="Times New Roman"/>
          <w:color w:val="000000"/>
          <w:sz w:val="24"/>
          <w:szCs w:val="24"/>
          <w:lang w:val="es-UY" w:eastAsia="es-UY"/>
        </w:rPr>
        <w:t>Foto tomada de </w:t>
      </w:r>
      <w:hyperlink r:id="rId6" w:tgtFrame="_blank" w:history="1">
        <w:r w:rsidRPr="00C7222B">
          <w:rPr>
            <w:rFonts w:ascii="Times New Roman" w:eastAsia="Times New Roman" w:hAnsi="Times New Roman" w:cs="Times New Roman"/>
            <w:color w:val="1155CC"/>
            <w:sz w:val="27"/>
            <w:szCs w:val="27"/>
            <w:u w:val="single"/>
            <w:lang w:val="es-UY" w:eastAsia="es-UY"/>
          </w:rPr>
          <w:t>desdemilibertad.wordpress.com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2B"/>
    <w:rsid w:val="002E2F5B"/>
    <w:rsid w:val="00C722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E5037-B246-43F1-8212-AB84DE4D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4401207614750736804" TargetMode="External"/><Relationship Id="rId5" Type="http://schemas.openxmlformats.org/officeDocument/2006/relationships/hyperlink" Target="https://www.blogger.com/blog/post/edit/2845060600014161194/8487965577089742100"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1664</Words>
  <Characters>9155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2020-10-22T17:10:00Z</dcterms:created>
  <dcterms:modified xsi:type="dcterms:W3CDTF">2020-10-22T17:11:00Z</dcterms:modified>
</cp:coreProperties>
</file>