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1D" w:rsidRPr="0004061D" w:rsidRDefault="0004061D" w:rsidP="0004061D">
      <w:pPr>
        <w:shd w:val="clear" w:color="auto" w:fill="F9F9F9"/>
        <w:spacing w:before="100" w:beforeAutospacing="1" w:after="48" w:line="240" w:lineRule="auto"/>
        <w:outlineLvl w:val="0"/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</w:pPr>
      <w:r w:rsidRPr="0004061D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>En palabras simples, un golpe de Estado</w:t>
      </w:r>
    </w:p>
    <w:p w:rsidR="0004061D" w:rsidRPr="0004061D" w:rsidRDefault="0004061D" w:rsidP="0004061D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150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5" w:history="1">
        <w:r w:rsidRPr="0004061D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>Gustavo Espinoza M.</w:t>
        </w:r>
      </w:hyperlink>
    </w:p>
    <w:p w:rsidR="0004061D" w:rsidRPr="0004061D" w:rsidRDefault="0004061D" w:rsidP="0004061D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10/11/2020</w:t>
      </w:r>
    </w:p>
    <w:p w:rsidR="0004061D" w:rsidRPr="0004061D" w:rsidRDefault="0004061D" w:rsidP="0004061D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bookmarkStart w:id="0" w:name="_GoBack"/>
      <w:bookmarkEnd w:id="0"/>
      <w:r w:rsidRPr="0004061D">
        <w:rPr>
          <w:rFonts w:ascii="Trebuchet MS" w:eastAsia="Times New Roman" w:hAnsi="Trebuchet MS" w:cs="Times New Roman"/>
          <w:noProof/>
          <w:color w:val="4E4C4C"/>
          <w:sz w:val="27"/>
          <w:szCs w:val="27"/>
          <w:lang w:val="es-UY" w:eastAsia="es-UY"/>
        </w:rPr>
        <w:drawing>
          <wp:inline distT="0" distB="0" distL="0" distR="0" wp14:anchorId="33AFBEB6" wp14:editId="32E40713">
            <wp:extent cx="4762500" cy="3181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61D" w:rsidRPr="0004061D" w:rsidRDefault="0004061D" w:rsidP="0004061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Foto: publimetro.pe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No es la primera vez que ocurre en América Latina. Lo vimos antes. A través de una “destitución parlamentaria” se derrocó en Paraguay a Fernando Lugo, y más recientemente, en Brasil, a Dilma Rousseff. En ambos casos –como ahora- se usó el mismo argumento: cambiar a un mandatario porque se le considera “incapacitado moralmente”. En las acciones golpistas, verdaderas mafias que encubren sus </w:t>
      </w:r>
      <w:proofErr w:type="gram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zafios propósito</w:t>
      </w:r>
      <w:proofErr w:type="gram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tras encumbradas palabras.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Pero sí es la primera vez que se usa en el Perú el término </w:t>
      </w:r>
      <w:r w:rsidRPr="0004061D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“vacancia”</w:t>
      </w: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para derribar a un gobierno. Cuando Fujimori, no hubo vacancia. El dictador se fue, huyó cobardemente y desde Japón envió un fax renunciando a su investidura. El Congreso declaró </w:t>
      </w:r>
      <w:r w:rsidRPr="0004061D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vacante el cargo</w:t>
      </w: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pero no “vacó” al fugado. Y con PPK tampoco hubo vacancia. El primer intento, fracasó. Y ante el segundo, el Presidente renunció. Vizcarra asumió el cargo por ausencia del titular.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lastRenderedPageBreak/>
        <w:t>Es entonces, la primera vez que se aplica en el Perú el procedimiento que depuso a Lugo y a Dilma. Pero aquí también se encubrió el caso con consideraciones “legalistas”.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Algún experto en Derecho Constitucional podría decir que aquí el Congreso de la República </w:t>
      </w:r>
      <w:r w:rsidRPr="0004061D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usurpó funciones.</w:t>
      </w: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 Asumió, en efecto las del Poder Judicial. Y es que es el Poder Judicial -y sus diversas instancias- el que determina la culpabilidad de alguien en la comisión de un delito. Aquí el Congreso -sin juicio alguno- decidió que Vizcarra era culpable de todo lo que se le acusa Y que, por eso, está “moralmente incapacitado” para gobernar. Así lo dijeron 105 parlamentarios, 68 de los cuales tienen denuncias por diversos delitos.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¿Vizcarra tiene </w:t>
      </w:r>
      <w:proofErr w:type="gram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culpas?.</w:t>
      </w:r>
      <w:proofErr w:type="gram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Sin duda, </w:t>
      </w:r>
      <w:proofErr w:type="spell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si</w:t>
      </w:r>
      <w:proofErr w:type="spell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Si no penales -eso lo decidirá el PJ- , sí políticas. Pegado al Modelo </w:t>
      </w:r>
      <w:proofErr w:type="gram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Neo Liberal</w:t>
      </w:r>
      <w:proofErr w:type="gram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y al Dictado de Washington, no fue capaz de diseñar una opción acorde con las necesidades del país y las exigencias de la población. En suma, fue presa de sus propias limitaciones de clase.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¿Ha habido una suma de intereses tras este acuerdo de “vacancia”? Claro que sí. César Acuña y José Luna están tras el poder de Universidades Privadas que han sido cuestionadas. Y tienen acusaciones pendientes por las que tarde o temprano, tendrán que dar la cara. Pero no sólo ellos: Edgar Alarcón y Omar </w:t>
      </w:r>
      <w:proofErr w:type="spell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Chejade</w:t>
      </w:r>
      <w:proofErr w:type="spell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también tienen delitos que han sido probados -y no sólo denunciados- Y los fujimoristas, que podrían competir con la mafia de Al Capone en cualquier certamen internacional de ese corte. Todos han sumado voluntades, y votos.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Y hablando de intereses ¿habrá sido éste un “golpe” dado a espaldas de la embajada </w:t>
      </w:r>
      <w:proofErr w:type="gram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yanqui?.</w:t>
      </w:r>
      <w:proofErr w:type="gram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Porque Trump y su pandilla no andaban contentos con algunas cosas que asomaban aquí: la condena al bloqueo a Cuba; la llegada al Perú de las Brigadas Médicas de ese país hermano; las negociaciones para obtener la vacuna rusa contra el COVID; la desactivación objetiva del malhadado “Grupo de Lima”; la presencia del Primer Ministro peruano en la toma de mando del nuevo Jefe de Estado boliviano.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Por eso resulta injustificable la conducta de quienes no están metidos en ese entuerto, pero se han alegrado </w:t>
      </w:r>
      <w:proofErr w:type="gram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que</w:t>
      </w:r>
      <w:proofErr w:type="gram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él haya acontecido. No tienen brújula -o la han perdido-. Pero, sobre todo, no tienen sentido común. Ni siquiera olfato político. No son capaces de percibir quién es quién en el escenario político. Y entonces creen que la persona que ellos </w:t>
      </w:r>
      <w:proofErr w:type="gram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detestan,</w:t>
      </w:r>
      <w:proofErr w:type="gram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es el enemigo principal de todo el pueblo. Vuelcan coletazos de odio, retazos de resentimiento, complejos de minusvalía, sentimiento de culpa; para justificar impúdicamente lo que ha ocurrido. De todos modos, si son honestos, tendrán tiempo para arrepentirse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Lo que preocupa, es lo que vendrá. Porque no será </w:t>
      </w:r>
      <w:r w:rsidRPr="0004061D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“un congreso populista”</w:t>
      </w: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dispuesto a darla al pueblo </w:t>
      </w:r>
      <w:r w:rsidRPr="0004061D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“todo lo que pide”,</w:t>
      </w: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como cree la Gran Burguesía. Será un gobierno que busque prolongar su poder -o volver a él- a cualquier precio. Ya lo veremos.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Y veremos también quiénes serán los ministros, quién ocupará las carteras de economía, interior, educación y la Cancillería; quién ira a la Presidencia del Congreso -“el accesitario” está procesado-; quiénes serán calificados para integrar el Tribunal Constitucional; cuál será el trato que se dará a la SUNEDU; qué se resolverá en el tema de las inversiones mineras; cómo quedará la situación de los fiscales; y cómo los procesos incoados contra Keiko Fujimori y su Mafia. Y veremos también si se harán realmente las elecciones de abril con las reglas ya aprobadas, o si se intentará cambiarlas para admitir la reelección de congresistas y la “creación del Senado”, rechazado por el Plebiscito anterior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Hoy muchos preguntan, entonces qué hacer. Y sí, claro, hay -como decía Vallejo- muchísimo que hacer: protestar, denunciar, resistir; pero, sobre todo, trabajar para unir a la mayor parte del pueblo a fin de librar, en mejores condiciones, una batalla verdadera por la liberación nacional y social de nuestra patria.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Sólo anoche, y sin convocatoria previa, miles de personas se lanzaron a las calles en todo el país. En Lima, Huancayo, Arequipa y otras ciudades, espontáneamente se lanzaron a la calle en señal de protesta. No apoyan, necesariamente a Martin Vizcarra. Pero sí condenan resueltamente a la Mafia que ha </w:t>
      </w:r>
      <w:proofErr w:type="spellStart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ungido</w:t>
      </w:r>
      <w:proofErr w:type="spellEnd"/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 Manuel Merino como nuevo Jefe de Estado. Ella, es claro. No nos representa.</w:t>
      </w:r>
    </w:p>
    <w:p w:rsidR="0004061D" w:rsidRPr="0004061D" w:rsidRDefault="0004061D" w:rsidP="0004061D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FFFFF"/>
        <w:spacing w:before="24"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04061D" w:rsidRPr="0004061D" w:rsidRDefault="0004061D" w:rsidP="0004061D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04061D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https://www.alainet.org/es/articulo/209704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3074"/>
    <w:multiLevelType w:val="multilevel"/>
    <w:tmpl w:val="0A80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3162D"/>
    <w:multiLevelType w:val="multilevel"/>
    <w:tmpl w:val="BE72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4B244C"/>
    <w:multiLevelType w:val="multilevel"/>
    <w:tmpl w:val="5A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1D"/>
    <w:rsid w:val="0004061D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A3596-C2D7-4E79-B18B-32FB5A1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56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761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0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8152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8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84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8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6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01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37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33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038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3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04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1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41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484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39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lainet.org/es/autores/gustavo-espinoza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2020-11-11T13:08:00Z</dcterms:created>
  <dcterms:modified xsi:type="dcterms:W3CDTF">2020-11-11T13:09:00Z</dcterms:modified>
</cp:coreProperties>
</file>