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432" w:rsidRPr="00880432" w:rsidRDefault="00880432" w:rsidP="0088043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</w:pPr>
      <w:r w:rsidRPr="00880432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 xml:space="preserve">Como dar </w:t>
      </w:r>
      <w:proofErr w:type="spellStart"/>
      <w:r w:rsidRPr="00880432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>graças</w:t>
      </w:r>
      <w:proofErr w:type="spellEnd"/>
      <w:r w:rsidRPr="00880432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 xml:space="preserve"> e esperar</w:t>
      </w:r>
      <w:r w:rsidRPr="00880432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br/>
        <w:t>Por Marcelo Barros</w:t>
      </w:r>
    </w:p>
    <w:p w:rsidR="00880432" w:rsidRPr="00880432" w:rsidRDefault="00880432" w:rsidP="0088043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</w:pPr>
      <w:hyperlink r:id="rId4" w:tooltip="Portal das CEBs" w:history="1">
        <w:r w:rsidRPr="00880432">
          <w:rPr>
            <w:rFonts w:ascii="Times New Roman" w:eastAsia="Times New Roman" w:hAnsi="Times New Roman" w:cs="Times New Roman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 xml:space="preserve">Portal das </w:t>
        </w:r>
        <w:proofErr w:type="spellStart"/>
        <w:r w:rsidRPr="00880432">
          <w:rPr>
            <w:rFonts w:ascii="Times New Roman" w:eastAsia="Times New Roman" w:hAnsi="Times New Roman" w:cs="Times New Roman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CEBs</w:t>
        </w:r>
        <w:proofErr w:type="spellEnd"/>
      </w:hyperlink>
      <w:r w:rsidRPr="00880432"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  <w:t> </w:t>
      </w:r>
      <w:hyperlink r:id="rId5" w:tgtFrame="_blank" w:history="1">
        <w:r w:rsidRPr="00880432">
          <w:rPr>
            <w:rFonts w:ascii="Times New Roman" w:eastAsia="Times New Roman" w:hAnsi="Times New Roman" w:cs="Times New Roman"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 </w:t>
        </w:r>
      </w:hyperlink>
      <w:r w:rsidRPr="00880432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</w:p>
    <w:p w:rsidR="00880432" w:rsidRPr="00880432" w:rsidRDefault="00880432" w:rsidP="00880432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No Brasil, 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ação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graças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instituído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governo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brasileiro,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mesma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importância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Estados Unidos.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Lá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data é celebrada desde 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século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XVII e é feriado. A cada ano,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governo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consagra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quarta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quinta-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feira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novembro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agradecer a Deus as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vitórias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O agricultor agradece a Deus a boa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colheita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;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o comerciante,  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prosperidade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comércio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ganhou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recentes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eleições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deve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estar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agradecendo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vitória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ação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graças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pode ser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coletiva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vitórias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individuais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grupos que se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sentem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protegidos.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Pouco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importam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Em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meio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milhões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garantem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cada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alguém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sai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às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ruas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carro de luxo no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está escrito: Este carro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me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deu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sucedidos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agradecem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Deus 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ganhos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convencem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perderam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que, se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ganharam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mereciam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Nos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séculos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passados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senhores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agradeciam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quantidade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negros 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tinham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conseguido comprar </w:t>
      </w:r>
      <w:proofErr w:type="gram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territórios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indígenas 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tinham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roubado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tribos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originais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Até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hoje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esta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ação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graças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está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expressa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escrita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células do dólar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reproduzida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alguns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bancos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estabelecimentos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comerciais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: “</w:t>
      </w:r>
      <w:proofErr w:type="spellStart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Nós</w:t>
      </w:r>
      <w:proofErr w:type="spellEnd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confiamos em Deus</w:t>
      </w:r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”.</w:t>
      </w:r>
    </w:p>
    <w:p w:rsidR="00880432" w:rsidRPr="00880432" w:rsidRDefault="00880432" w:rsidP="00880432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Para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senso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crítico, esta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religião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civil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pouco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ver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evangelho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Por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nome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mesmo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irmãos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irmãs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várias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combatem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armamentismo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espalhado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pelo país, o imperialismo do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governo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a falsa ética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dominante.</w:t>
      </w:r>
    </w:p>
    <w:p w:rsidR="00880432" w:rsidRPr="00880432" w:rsidRDefault="00880432" w:rsidP="00880432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No Brasil, em 1965,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ano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depois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golpe militar pelo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tomou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governo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 presidente Castelo Branco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determinou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celebração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nacional do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ação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graças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mesma data dos Estados Unidos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encarregou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Ministério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Justiça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coordenar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celebração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:rsidR="00880432" w:rsidRPr="00880432" w:rsidRDefault="00880432" w:rsidP="00880432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Deus que legitima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iniquidade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o Deus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Conforme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Bíblia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, “</w:t>
      </w:r>
      <w:proofErr w:type="spellStart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oferecer</w:t>
      </w:r>
      <w:proofErr w:type="spellEnd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Deus </w:t>
      </w:r>
      <w:proofErr w:type="spellStart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orações</w:t>
      </w:r>
      <w:proofErr w:type="spellEnd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ofertas </w:t>
      </w:r>
      <w:proofErr w:type="spellStart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baseadas</w:t>
      </w:r>
      <w:proofErr w:type="spellEnd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em </w:t>
      </w:r>
      <w:proofErr w:type="spellStart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injustiças</w:t>
      </w:r>
      <w:proofErr w:type="spellEnd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é como tirar a vida de </w:t>
      </w:r>
      <w:proofErr w:type="spellStart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filho</w:t>
      </w:r>
      <w:proofErr w:type="spellEnd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imaginando que </w:t>
      </w:r>
      <w:proofErr w:type="spellStart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assim</w:t>
      </w:r>
      <w:proofErr w:type="spellEnd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se </w:t>
      </w:r>
      <w:proofErr w:type="spellStart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agradaria</w:t>
      </w:r>
      <w:proofErr w:type="spellEnd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ao</w:t>
      </w:r>
      <w:proofErr w:type="spellEnd"/>
      <w:r w:rsidRPr="008804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pai”</w:t>
      </w:r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(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Eclo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34, 18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).</w:t>
      </w:r>
    </w:p>
    <w:p w:rsidR="00880432" w:rsidRPr="00880432" w:rsidRDefault="00880432" w:rsidP="00880432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É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verdade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2020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sido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ano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desafios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imensos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sofrimentos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toda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Como o papa Francisco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chamou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atenção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carta </w:t>
      </w:r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 xml:space="preserve">encíclica Somos todos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irmãos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irmãs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pandemia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pôde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ceifar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vidas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trazer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sofrimentos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porque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maioria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países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tinha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desarticulado 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sistema público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saúde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solidariedade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internacional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quase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funcionou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vírus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contagia, por igual a pobres </w:t>
      </w:r>
      <w:proofErr w:type="gram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ricos. No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entanto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encontra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vítimas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as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amontoadas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habitações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irregulares,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saneamento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básico,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acesso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à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água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potável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condições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mínimas de se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protegerem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:rsidR="00880432" w:rsidRPr="00880432" w:rsidRDefault="00880432" w:rsidP="00880432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De todo modo,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motivos para dar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graças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para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reconhecer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ação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divina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atuando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vida.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ação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graças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boa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deve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atitude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permanente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crê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nos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deixamos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realmente mover pelas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orientações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amor do Espírito de Deus. Podemos agradecer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resistência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cotidiana do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os gestos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manifestações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solidariedade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crescem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periferias </w:t>
      </w:r>
      <w:proofErr w:type="gram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ambientes humanos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desafiadores. Podemos agradecer o fato de 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ainda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realidade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parece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saída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optamos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alimentar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:rsidR="00880432" w:rsidRPr="00880432" w:rsidRDefault="00880432" w:rsidP="00880432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procura ligar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vida aprende a discernir nos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acontecimentos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sinais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presença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íntima </w:t>
      </w:r>
      <w:proofErr w:type="gram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discreta do Espírito 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atua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através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aceitam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 instrumentos da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atuação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divina. Mesmo no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meio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situações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adversas, é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possível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esperar contra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tudo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seria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expectativa normal.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realidade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é, de fato, problemática. No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entanto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optamos por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crer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Por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vivemos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realização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projeto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divino no mundo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ninguém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poderá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roubar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confiança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que o reino de Deus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virá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concretizará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agora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 fato de 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mundo será, sim,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possível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Conforme o apóstolo,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três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características: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corrompe,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desgasta,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dilui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(1 Pd 1, 3- 12).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convoca a nos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manter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unidos/as em comunidades e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antecipar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sinais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celebração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litúrgica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aquilo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queremos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mundo: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comunhão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:rsidR="00880432" w:rsidRPr="00880432" w:rsidRDefault="00880432" w:rsidP="00880432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cada ano,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quatro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semanas antes do Natal,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portanto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partir do próximo domingo, as Igrejas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antigas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começam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novo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ciclo de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celebrações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formam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chamado “ano litúrgico”,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tempo chamado “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Advento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”. Seu objetivo é preparar a festa do Natal e realimentar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realização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projeto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divino de paz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justiça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eco-social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agora</w:t>
      </w:r>
      <w:proofErr w:type="spellEnd"/>
      <w:r w:rsidRPr="008804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:rsidR="002E2F5B" w:rsidRDefault="00880432">
      <w:hyperlink r:id="rId6" w:history="1">
        <w:r w:rsidRPr="00E1484E">
          <w:rPr>
            <w:rStyle w:val="Hipervnculo"/>
          </w:rPr>
          <w:t>https://portaldascebs.org.br/2020/11/23/como-dar-gracas-e-esperar-por-marcelo-barros/?fbclid=IwAR3-6x5giPTJ55Z9VRCun6Hm8i5nT3DBvjCbvgcvAM6LuwYVvXDTHDXSaOY</w:t>
        </w:r>
      </w:hyperlink>
    </w:p>
    <w:p w:rsidR="00880432" w:rsidRDefault="00880432">
      <w:bookmarkStart w:id="0" w:name="_GoBack"/>
      <w:bookmarkEnd w:id="0"/>
    </w:p>
    <w:sectPr w:rsidR="00880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2"/>
    <w:rsid w:val="002E2F5B"/>
    <w:rsid w:val="0088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090D"/>
  <w15:chartTrackingRefBased/>
  <w15:docId w15:val="{006094F9-A5A7-4AF0-95DD-2656FB11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043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0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63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dascebs.org.br/2020/11/23/como-dar-gracas-e-esperar-por-marcelo-barros/?fbclid=IwAR3-6x5giPTJ55Z9VRCun6Hm8i5nT3DBvjCbvgcvAM6LuwYVvXDTHDXSaOY" TargetMode="External"/><Relationship Id="rId5" Type="http://schemas.openxmlformats.org/officeDocument/2006/relationships/hyperlink" Target="mailto:erika@iserassessoria.org.br" TargetMode="External"/><Relationship Id="rId4" Type="http://schemas.openxmlformats.org/officeDocument/2006/relationships/hyperlink" Target="https://portaldascebs.org.br/author/erik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2020-11-23T14:25:00Z</dcterms:created>
  <dcterms:modified xsi:type="dcterms:W3CDTF">2020-11-23T14:26:00Z</dcterms:modified>
</cp:coreProperties>
</file>