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AF" w:rsidRPr="00B212AF" w:rsidRDefault="00B212AF" w:rsidP="00B212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</w:pPr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O problema do mal: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sua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evolução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na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sociedade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reptiliana e a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abolição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 xml:space="preserve"> do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  <w:lang w:val="es-UY" w:eastAsia="es-UY"/>
        </w:rPr>
        <w:t>homem</w:t>
      </w:r>
      <w:proofErr w:type="spellEnd"/>
    </w:p>
    <w:p w:rsidR="00B212AF" w:rsidRDefault="00B212AF" w:rsidP="00B212AF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  <w:r w:rsidRPr="00B212AF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 xml:space="preserve">07 </w:t>
      </w:r>
      <w:proofErr w:type="spellStart"/>
      <w:r w:rsidRPr="00B212AF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Dezembro</w:t>
      </w:r>
      <w:proofErr w:type="spellEnd"/>
      <w:r w:rsidRPr="00B212AF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 xml:space="preserve"> 2020</w:t>
      </w:r>
      <w:bookmarkStart w:id="0" w:name="_GoBack"/>
      <w:bookmarkEnd w:id="0"/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“O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causado pelas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condições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econômicas-sociais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pobreza 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miséria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Criador,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humana.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Bíblia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mito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gênesis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seduzido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mal, decide levantar-se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instituída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Deus,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Deus.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faraós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Egito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imperadores de Roma. Segundo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4000 anos a.C.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plena paz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ambiente,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consigo mesmo,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'queda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',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explode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egoísmo humano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- o ego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herança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filogenética do ser humano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denomino de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ego reptiliano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daí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as armas, os muros, 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fronteiras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eliminam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pontes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Rosendo A. Yunes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para a coluna “</w:t>
      </w:r>
      <w:hyperlink r:id="rId4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Rumo a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Assis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: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na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direção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da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Economia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de Francisco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Rosendo A. Yunes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doutor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Química pela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Del Litoral (1965).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pesquisador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Sênior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CNPq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diversas universidades da Argentina e no Brasil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visitante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coordenador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Pós-Graduação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Química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Federal de Santa Catarina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voluntário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Vale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Itajaí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Yunes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pensador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inter-disciplinar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sobre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filosófico-teológico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espanhol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latino-americano,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destaque para a </w:t>
      </w:r>
      <w:hyperlink r:id="rId5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Xavier Zubiri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hyperlink r:id="rId6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Ignacio Ellacuría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arte que ilustra esta Coluna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obra de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Kassio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Massa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arquiteto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urbanista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artista visual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graduação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FAU Mackenzie,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mestrando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fotografia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digitais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B212AF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Eis</w:t>
      </w:r>
      <w:proofErr w:type="spellEnd"/>
      <w:r w:rsidRPr="00B212AF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o artigo.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O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mistério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 do mal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hyperlink r:id="rId7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problema do mal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complexos que existe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Longas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discussões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acerca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acontecido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longo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conclusão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universal. 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indiretamente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convivência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nos relacionamos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meio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ambiente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conosco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mesmos.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lastRenderedPageBreak/>
        <w:t xml:space="preserve">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interpretações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dadas a este problema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buscam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suporte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metafísica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teologia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Entre os estudiosos que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debateram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assunto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o filósofo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grego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8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Epicuro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342 a 271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antes de Cristo,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naquele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“</w:t>
      </w:r>
      <w:hyperlink r:id="rId9" w:tgtFrame="_blank" w:history="1"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 xml:space="preserve">Se Deus é </w:t>
        </w:r>
        <w:proofErr w:type="spellStart"/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>bom</w:t>
        </w:r>
        <w:proofErr w:type="spellEnd"/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 xml:space="preserve">, porque Ele </w:t>
        </w:r>
        <w:proofErr w:type="spellStart"/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>não</w:t>
        </w:r>
        <w:proofErr w:type="spellEnd"/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 xml:space="preserve"> elimina o mal?</w:t>
        </w:r>
      </w:hyperlink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 Se Ele era o criador de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tudo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porque Ele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criou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o mal?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”. Esta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abordagem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continua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justificativa do ateísmo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Durante 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Segunda Guerra Mundial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hyperlink r:id="rId10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campos de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extermínio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nazista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tornaram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símbolo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angústia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convertido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lobo para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levando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11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papa Bento XVI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origem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“Onde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Deus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naqueles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?” e continua: “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entender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segredo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Deus, podemos apenas ver fragmentos”. 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conceito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mal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indefinível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dimensão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incomensurável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entretanto, de forma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clássica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tradicional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definido como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mal moral, mal físico </w:t>
      </w:r>
      <w:proofErr w:type="gram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mal social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três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campos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revelam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pluridimensional do termo. 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insondável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nos coloca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mistério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agonia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desespero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observamos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sociedades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mundo.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causado pelas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condições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econômicas-sociais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, pobreza 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miséria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Criador,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humana.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Bíblia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mito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gênesis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seduzido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mal, decide levantar-se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instituída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Deus,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Deus.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faraós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Egito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imperadores de Roma. Segundo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4000 anos a.C.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plena paz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ambiente,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consigo mesmo [1],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“queda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[2],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explode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egoísmo humano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- o ego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herança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filogenética do ser humano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denomino de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ego reptiliano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;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daí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as armas, os muros, 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fronteiras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eliminam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pontes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acordo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filósofo </w:t>
      </w:r>
      <w:hyperlink r:id="rId12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Ignacio Ellacuría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[3],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clássicos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cristianismo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falavam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"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cada ser humano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isoladamente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mas,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ideal,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assumir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comportamento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humano. O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pensamento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dialético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revela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o ideal (o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(o mal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mostrando que o mal se torna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atualização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Para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Ellacuría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mal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mal histórico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corpo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social,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atualiza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acomodar perversamente a vida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indivíduos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grupos humanos, parafraseando o autor: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“</w:t>
      </w:r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O </w:t>
      </w:r>
      <w:r w:rsidRPr="00B212AF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mal</w:t>
      </w:r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é meramente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possibilidade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mas, algo que apodera da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minha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própria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vida,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medida que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pertence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determinado momento histórico: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há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maldade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histórica [...] que está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aí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como algo objetivo </w:t>
      </w:r>
      <w:proofErr w:type="gram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pode configurar a vida. O </w:t>
      </w:r>
      <w:r w:rsidRPr="00B212AF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mal</w:t>
      </w:r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propriedade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mas,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condição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para o ser humano, o mal e o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apenas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diz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respeito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ser humano. 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nua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crua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é boa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nem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má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. Todo o </w:t>
      </w:r>
      <w:proofErr w:type="spellStart"/>
      <w:r w:rsidRPr="00B212AF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 e todo mal é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bom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mau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alguém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. Mas eles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relativos, eles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ruins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bons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relação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alguém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se trata de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relatividade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de “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respectividade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” (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respeito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de)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Ellacuría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[4]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"http://www.ihu.unisinos.br/10728" \t "_blank" </w:instrTex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civilização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capitalista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“O que é evidente é que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partimos de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situação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neutra,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sim de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situação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fundamentalmente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desumanizante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presença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do mal no mundo é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tão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massiva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e de tal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implicação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vida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pessoal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que,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abstração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feita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culpabilidade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verdade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pode se negar 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objetiva do mal e 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presença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vontade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histórica do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realização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desse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mal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 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Ellacuria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minoria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países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abrigam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pequena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parte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mundial explora os recursos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(petróleo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matérias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-primas, alimentos, cultura, poder militar, capital, ... )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poluem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ambiente de forma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massiva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países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mundial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usufruir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recursos, mesmo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minimamente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Estas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vêm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carta </w:t>
      </w:r>
      <w:hyperlink r:id="rId13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Encíclica Fratelli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Tutti</w:t>
        </w:r>
        <w:proofErr w:type="spellEnd"/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(2020) [5] [6],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documento de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análise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social, político,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econômico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cultural de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nível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internacional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escrito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Papa Francisco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partir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convicções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cristãs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encorajam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alimentam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confuso e de tantas incertezas, a encíclica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implicações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nos permite desde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perspectiva diferente contribuir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nova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"http://www.ihu.unisinos.br/544477" \t "_blank" </w:instrTex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atual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sistema </w:t>
      </w:r>
      <w:proofErr w:type="spellStart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econômico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que mata, descarta e </w:t>
      </w:r>
      <w:proofErr w:type="spellStart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adoece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o ser humano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paz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efêmera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onde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minoria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felizes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padece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fome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sair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miséria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Dominada pelos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meios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comunicação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massivos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monopólicos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antropologia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aberrante: o “</w:t>
      </w:r>
      <w:hyperlink r:id="rId14" w:tgtFrame="_blank" w:history="1"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 xml:space="preserve">homo </w:t>
        </w:r>
        <w:proofErr w:type="spellStart"/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>economicus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 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ao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serviço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do mercado, da oferta e a demanda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 Vale lembrar que todos os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regimes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totalitários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antropologias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aberrantes: o comunismo no materialismo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coletivista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nazismo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raça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germânica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superior,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América Latina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nome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ocidental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cristão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 e da “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segurança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nacional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eliminar o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enganador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ídolo comunista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antropologia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aberrante se conserva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mente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militares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civis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continente.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Necessitamos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nova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antropologia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Evolução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 do mal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na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 “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Sociedade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 Reptiliana”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Reptiliana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que,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ver, engloba as diversas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denominações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sistema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sócio-econômico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”neoliberal”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como: a </w:t>
      </w:r>
      <w:hyperlink r:id="rId15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“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sociedade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líquida” de </w:t>
        </w:r>
        <w:r w:rsidRPr="00B212AF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>Zygmunt Bauman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hyperlink r:id="rId16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“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sociedade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do risco” de </w:t>
        </w:r>
        <w:r w:rsidRPr="00B212AF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>Ulrich Beck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hyperlink r:id="rId17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“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sociedade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do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cansaço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” de </w:t>
        </w:r>
        <w:proofErr w:type="spellStart"/>
        <w:r w:rsidRPr="00B212AF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>Byung-Chul</w:t>
        </w:r>
        <w:proofErr w:type="spellEnd"/>
        <w:r w:rsidRPr="00B212AF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> Han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hyperlink r:id="rId18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“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sociedade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da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transparência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” de </w:t>
        </w:r>
        <w:r w:rsidRPr="00B212AF">
          <w:rPr>
            <w:rFonts w:ascii="Georgia" w:eastAsia="Times New Roman" w:hAnsi="Georgia" w:cs="Times New Roman"/>
            <w:b/>
            <w:bCs/>
            <w:color w:val="FC6B01"/>
            <w:sz w:val="27"/>
            <w:szCs w:val="27"/>
            <w:u w:val="single"/>
            <w:lang w:val="es-UY" w:eastAsia="es-UY"/>
          </w:rPr>
          <w:t>Gianni Vattimo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hyperlink r:id="rId19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Karl Polanyi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(1886-1964)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"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 Grande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Transformação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[7], usa pela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vez,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antropologia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tentar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evolução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sistema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sócio-econômico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século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XIX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ecônomos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concentram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produtividade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distribuição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riqueza dos diferentes sistemas,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explica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“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dignidade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humana” [8].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Segundo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ser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estudada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exata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margem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contexto social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inserida no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tecido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políticas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institucionais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tentar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relação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entre o mercado e a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sociedade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século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XIX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compreendê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-la no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XXI. 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mercado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entendido como o mecanismo de oferta-demanda-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preço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segundo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ecônomos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regulariza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automaticamente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de forma determinista.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Embora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"http://www.ihu.unisinos.br/593784" \t "_blank" </w:instrTex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livre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mercado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favorecido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desenvolvimento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pode ignorar o poder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excessivo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mercados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financeiros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as grandes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multinacionais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vidas privadas e sobre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gerenciamento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recursos públicos.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protestos contra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crescente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hyperlink r:id="rId20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paraísos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fiscais</w:t>
        </w:r>
        <w:proofErr w:type="spellEnd"/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excessos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setor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financeiro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últimas crises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econômicas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constatar que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fala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diretamente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presente.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explica a famosa “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paz dos 100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entre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guerras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napoleônicas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(1815) 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início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Primeira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Guerra Mundial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(1914), como resultante do mundo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ocidental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ter os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grandes poderes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financeiros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-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banqueiros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comerciantes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internacionais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pressionando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Estados 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promover a paz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lhes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permitisse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continuar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negócios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problemas.</w:t>
      </w: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sistema da época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baseava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três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pilares: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mercado nacional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livre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comércio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internacional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lastro em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Todos eles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favoreceram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industrialismo 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fortunas que,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proporcionaram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-estar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nunca visto antes e,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pressionaram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Estados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contrair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altos débitos vinculados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manutenção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lastro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três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pilares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tensões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sistema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colapso: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matérias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-primas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beligerância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internacional,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favorecer a agricultura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indústria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questionaram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livre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comércio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internacional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inflação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flutuações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câmbio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mercado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tornou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insustentável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lastro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conceito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antropologia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aberrante,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observa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sociedades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pré-industriais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partindo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conceitos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reciprocidade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redistribuição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administração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doméstica e o mercado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ficava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segundo plano. O autor, no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“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Fábrica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diabo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conceito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a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"http://www.ihu.unisinos.br/603353" \t "_blank" </w:instrTex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revolução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industrial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considera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engenho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diabólico.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Inglaterra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onde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industrialização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salários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pagos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vendiam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de-obra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deploráveis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tinham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saída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fome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causada pela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inflação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Berkshire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juízes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funcionários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distrito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reuniram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Speenhamland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decidiram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fixar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salário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mínimo justo para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sim criar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subsídio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para os pobres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Subsídio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mínimo, proporcional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preço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servia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complemento dos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salários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cuja renda era insuficiente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cobrir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básicas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alimentação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moradia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objetivo era criar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vez que,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ironicamente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beneficiários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proprietários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pagar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salários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menores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funcionários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vista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acréscimo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previsto pelo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subsídio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trabalhadores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diminuídos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produtividade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criada a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"http://www.ihu.unisinos.br/574822" \t "_blank" </w:instrTex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Lei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dos Pobres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de 1834,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tornava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obrigatório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obter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auxílio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salário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inferior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praticado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mercado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livre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rebelarem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o sistema.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se acredita por falsas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conclui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 </w:t>
      </w:r>
      <w:hyperlink r:id="rId21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liberalismo </w:t>
        </w:r>
        <w:r w:rsidRPr="00B212AF">
          <w:rPr>
            <w:rFonts w:ascii="Georgia" w:eastAsia="Times New Roman" w:hAnsi="Georgia" w:cs="Times New Roman"/>
            <w:i/>
            <w:iCs/>
            <w:color w:val="FC6B01"/>
            <w:sz w:val="27"/>
            <w:szCs w:val="27"/>
            <w:u w:val="single"/>
            <w:lang w:val="es-UY" w:eastAsia="es-UY"/>
          </w:rPr>
          <w:t>laissez-faire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[9]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natural e sim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projetado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ecônomos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ingleses,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instituído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poder do Estado,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famosa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o mercado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auto-regula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Para o liberalismo, o ser humano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tendência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natural para a troca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ganância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é o </w:t>
      </w:r>
      <w:r w:rsidRPr="00B212AF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homo </w:t>
      </w:r>
      <w:proofErr w:type="spellStart"/>
      <w:r w:rsidRPr="00B212AF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economicus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[10],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tanto, 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mercado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Deus, seria a forma natural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equacionar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todas as facetas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organização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fase decisiva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moeda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tornaram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mercadorias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ser tratados como criados pelo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venda.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produzidos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venda como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moeda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estar à venda, como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humano.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recursos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antecedem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presente de Deus e os seres humanos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filhos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proverem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de-obra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mercado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ser humano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“recurso”, é “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observação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“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Isolar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natureza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criar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mercado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estranhas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antepassados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fizeram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ficção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mercantilista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colocou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destino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natureza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autômata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determinista,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controlava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circuitos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acordo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instrumento era controlado exclusivamente pela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fome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pelo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apetite por lucro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despossuídos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satisfazerem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alimento,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vender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mercado,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proprietários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compravam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eles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-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de-obra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preço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menor 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vendiam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preços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altos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obter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máximo lucro.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modelo de sistema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socioeconômico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existir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aniquilar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substância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humana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natural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evidente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cenário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destruição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física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marginados, e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natureza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Antes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capitalismo industrial liberal, os mercados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passavam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acessórios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vida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capitalismo industrial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nasceu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algo diferente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subordinando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mercado e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ser comercializado: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moeda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cultura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mesmo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religião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observar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seitas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neopentecostais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Primeira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Guerra Mundial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os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conflitos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financeiras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lastro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podiam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administradas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democráticos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promoveu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regimes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totalitários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o comunismo, e logo o </w:t>
      </w:r>
      <w:hyperlink r:id="rId22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nazismo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 o </w:t>
      </w:r>
      <w:hyperlink r:id="rId23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fascismo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Os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impulsos do capitalismo de mercado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expansão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infinita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vistos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contradição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compreensível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ambição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todos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regimes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por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razões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geopolíticas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Segunda Guerra Mundial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 final da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Segunda Guerra Mundial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criadas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internacionais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promoção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humanos, entre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Organização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Nações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Unidas (ONU)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decidido que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mercado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ter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finalidade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para todos. 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controle social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sobre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economia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restaurado.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financeira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 de </w:t>
      </w:r>
      <w:hyperlink r:id="rId24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Bretton Woods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espaço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político dos países buscando implementar o pleno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emprego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social,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aposentadoria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moradia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países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desenvolvimento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capazes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industrializar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substituindo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importações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planos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longo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Polanyi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suspeitava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enfraquecimento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mercado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colocar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jogo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contra-ataque</w:t>
      </w:r>
      <w:proofErr w:type="spellEnd"/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Capital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visando se libertar de todos os planos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toda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segurança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e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demandas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De fato,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desde 1970 até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liberalização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comércio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do capital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global, das últimas décadas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XX, o </w:t>
      </w:r>
      <w:hyperlink r:id="rId25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capital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financeiro</w:t>
        </w:r>
        <w:proofErr w:type="spellEnd"/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mercados.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Somado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corporações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transnacionais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veículos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informação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vê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lógica do mercado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mina e corrompe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políticos democráticos, de forma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grotesca nos países dependentes 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potências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imperiais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especialmente dos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Estados Unidos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considerada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potência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mundial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embora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esteja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ameaçada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 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"http://www.ihu.unisinos.br/588074" \t "_blank" </w:instrTex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crescimento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surpreendente</w:t>
      </w:r>
      <w:proofErr w:type="spellEnd"/>
      <w:r w:rsidRPr="00B212AF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da China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equidade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desigualdade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atinge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dramáticos.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exploração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perversa dos recursos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emissão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dióxido de carbono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usinas,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automóveis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entre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climáticas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irreversíveis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possibilidade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cada vez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evidente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futura guerra nuclear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abrindo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perspectivas apocalípticas para o presente,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angústia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pandemia de covid-19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fez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26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colapsar a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economia</w:t>
        </w:r>
        <w:proofErr w:type="spellEnd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mundial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A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abolição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 do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homem</w:t>
      </w:r>
      <w:proofErr w:type="spellEnd"/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hyperlink r:id="rId27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Clive Staples Lewis</w:t>
        </w:r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(1898-1963) [11],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intelectuais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importantes da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Inglaterra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XX,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publicou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1943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intitulado: “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abolição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que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certa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acabou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tanto profético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XXI. O autor postula que toda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civilização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provém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único centro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daí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importância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basear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todos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julgamentos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que ele chama de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Tao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naquilo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historicamente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em diferentes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 considerado “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vista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objetividade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que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falso, em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universo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somos.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natural inspira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comportamento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Nenhuma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emoção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lógica intrínseca,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razoáveis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dependendo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motivo.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Emoções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sentimentos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adaptados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sentido,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Aristóteles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afirma que o propósito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garantir que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estudante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preferências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apropriado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educador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ajudar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este aluno a eliminar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sentimentos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falsos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criar o hábito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sentimentos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justos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agradável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sensação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poder sobre si mesmo, e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auto-domínio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resultar do poder que "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"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reside o problema.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educação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cultura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longo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buscaram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poder.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sobre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gerações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futuras,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que,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invés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torná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fortes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enfraquece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afasta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natural, do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Tao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indefesos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os grandes manipuladores.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acordo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C.S. Lewis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planejam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manipulam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poder do Estado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onicompetente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tecnologia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científica,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moldar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almejam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Para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C.S. Lewis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empreendimento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campo do mágico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científico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surgiram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mesmo impulso nos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XVI e XVII.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algo que separa a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magia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ciência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aplicada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da "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sabedoria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tempos. Para 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sábios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antiguidade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principal problema era como conformar a alma à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conhecimento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autodisciplina 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virtude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problema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magia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ciência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aplicada é tentar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adapte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instrumento a técnica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ponto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antes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eram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tidas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indecentes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ímpias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construir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bomba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atômica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cujo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poder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destrutivo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permite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exercer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domínio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sobre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bilhões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forma, todo poder conquistado pelo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 sobre 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“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planejam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manipulam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dar à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humanidade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forma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desejam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controlar os valores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planejar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formar as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gram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Como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consequência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paradoxalmente,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haverá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infelizes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sim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zumbis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a última conquista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será a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abolição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”!</w:t>
      </w:r>
      <w:proofErr w:type="gramEnd"/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Considerações</w:t>
      </w:r>
      <w:proofErr w:type="spellEnd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 xml:space="preserve"> </w:t>
      </w:r>
      <w:proofErr w:type="spellStart"/>
      <w:r w:rsidRPr="00B212AF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Finais</w:t>
      </w:r>
      <w:proofErr w:type="spellEnd"/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hyperlink r:id="rId28" w:tgtFrame="_blank" w:history="1"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mal </w:t>
        </w:r>
        <w:proofErr w:type="spellStart"/>
        <w:r w:rsidRPr="00B212AF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comum</w:t>
        </w:r>
        <w:proofErr w:type="spellEnd"/>
      </w:hyperlink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observado por 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Ellacuria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leva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atualidade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“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abolição</w:t>
      </w:r>
      <w:proofErr w:type="spellEnd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 do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”, que segundo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São Paulo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o templo de Deus.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modo,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abolição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significa 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abolição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Deus - da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importante. A única forma de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sair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caverna obscura</w:t>
      </w: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(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Platônica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)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fomos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sometidos, é observando e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seguindo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luz que nos brinda a carta Encíclica do Papa Francisco: </w:t>
      </w:r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Fratelli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Tutti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(2020) que representa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chamado de Cristo para </w:t>
      </w:r>
      <w:proofErr w:type="spellStart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tempos.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:rsidR="00B212AF" w:rsidRPr="00B212AF" w:rsidRDefault="00B212AF" w:rsidP="00B212AF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B212AF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Notas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[1] YUNES, R.A. </w:t>
      </w:r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Pecado original</w:t>
      </w: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: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nova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visão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histórico-evolutiva.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Sintropy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2017, n ° 1,43-56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[2]TAYLOR S. </w:t>
      </w:r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A queda</w:t>
      </w: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. 2ed, Ed La Llave, DH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Espanha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. 2010. 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[3] ELLACURIA, I. 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Filosofia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realidade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 xml:space="preserve"> histórica</w:t>
      </w: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. Editores UCA, San Salvador, 1989,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Ignácio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foi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reitor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Universidade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Católica de El Salvador,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América Central, martirizado por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fé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e vida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cristã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. 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[4] ELLACURIA, L. </w:t>
      </w:r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Ética Fundamental</w:t>
      </w: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Ed:“ Cursos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Universitários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- UCA”, San Salvador, 2009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[5] PAPA FRANCISCO. </w:t>
      </w:r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 xml:space="preserve">Carta Encíclica Fratelli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Tutti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: Sobre 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fraternidade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e 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amizade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social. Ed. Paulus, Brasil, 2020.</w:t>
      </w:r>
      <w:r w:rsidRPr="00B212AF">
        <w:rPr>
          <w:rFonts w:ascii="Georgia" w:eastAsia="Times New Roman" w:hAnsi="Georgia" w:cs="Times New Roman"/>
          <w:color w:val="666666"/>
          <w:lang w:val="es-UY" w:eastAsia="es-UY"/>
        </w:rPr>
        <w:br/>
        <w:t>[6] </w:t>
      </w:r>
      <w:r w:rsidRPr="00B212AF">
        <w:rPr>
          <w:rFonts w:ascii="Georgia" w:eastAsia="Times New Roman" w:hAnsi="Georgia" w:cs="Times New Roman"/>
          <w:b/>
          <w:bCs/>
          <w:color w:val="666666"/>
          <w:lang w:val="es-UY" w:eastAsia="es-UY"/>
        </w:rPr>
        <w:t xml:space="preserve">Fratelli </w:t>
      </w:r>
      <w:proofErr w:type="spellStart"/>
      <w:r w:rsidRPr="00B212AF">
        <w:rPr>
          <w:rFonts w:ascii="Georgia" w:eastAsia="Times New Roman" w:hAnsi="Georgia" w:cs="Times New Roman"/>
          <w:b/>
          <w:bCs/>
          <w:color w:val="666666"/>
          <w:lang w:val="es-UY" w:eastAsia="es-UY"/>
        </w:rPr>
        <w:t>tutti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 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eram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palavras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de São Francisco de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Assis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quando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se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dirigia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seus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irmãos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irmãs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para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lhes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propor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forma de vida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o sabor do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Evangelho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. Ele os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convidava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um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amor que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ultrapassa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barreiras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geografia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e do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espaço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; 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assim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declarava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: feliz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quem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ama 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outro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“o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seu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irmão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tanto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quando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está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longe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como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quando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está junto de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si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”.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Uma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fraternidade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aberta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que permite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reconhecer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valorizar </w:t>
      </w:r>
      <w:proofErr w:type="gram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</w:t>
      </w:r>
      <w:proofErr w:type="gram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amar todas as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pessoas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sem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distinção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[7] POLANYI, K. </w:t>
      </w:r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 xml:space="preserve">A Grande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Transformação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. Crítica do Liberalismo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Econômico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" Ed: Barcelona, 2007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[8] CASANOVAS, G. 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Bens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fictícios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 xml:space="preserve">. Recuperando Polanyi para o </w:t>
      </w:r>
      <w:proofErr w:type="spellStart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>século</w:t>
      </w:r>
      <w:proofErr w:type="spellEnd"/>
      <w:r w:rsidRPr="00B212AF">
        <w:rPr>
          <w:rFonts w:ascii="Georgia" w:eastAsia="Times New Roman" w:hAnsi="Georgia" w:cs="Times New Roman"/>
          <w:i/>
          <w:iCs/>
          <w:color w:val="666666"/>
          <w:lang w:val="es-UY" w:eastAsia="es-UY"/>
        </w:rPr>
        <w:t xml:space="preserve"> XXI</w:t>
      </w: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. Ed: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Cristianisme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i Justicia, Barcelona, 2019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[9]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Expressão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em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francês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que simboliza o liberalismo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econômico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versão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mais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pura de capitalismo, de que o mercado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deve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funcionar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livremente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sem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interferência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sem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taxas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nem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subsídios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apenas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regulamentos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suficientes para proteger os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direitos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de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propriedade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[10] 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Conceito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da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ciência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econômica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que se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refere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ao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econômico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racional,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ou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seja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indivíduo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que toma todas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suas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decisões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com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base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na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racionalidade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. Definido como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alguém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que evita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trabalho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desnecessário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, ele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consegue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sempre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maximizar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sua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riqueza.</w:t>
      </w:r>
    </w:p>
    <w:p w:rsidR="00B212AF" w:rsidRPr="00B212AF" w:rsidRDefault="00B212AF" w:rsidP="00B212AF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[11] LEWIS, C.S. A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abolição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 do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homem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 xml:space="preserve">. Ed. Encuentro, </w:t>
      </w:r>
      <w:proofErr w:type="spellStart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Espanha</w:t>
      </w:r>
      <w:proofErr w:type="spellEnd"/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, 2007</w:t>
      </w:r>
    </w:p>
    <w:p w:rsidR="00B212AF" w:rsidRPr="00B212AF" w:rsidRDefault="00B212AF" w:rsidP="00B212AF">
      <w:pPr>
        <w:spacing w:after="0" w:line="240" w:lineRule="auto"/>
        <w:rPr>
          <w:rFonts w:ascii="Georgia" w:eastAsia="Times New Roman" w:hAnsi="Georgia" w:cs="Times New Roman"/>
          <w:color w:val="666666"/>
          <w:lang w:val="es-UY" w:eastAsia="es-UY"/>
        </w:rPr>
      </w:pPr>
      <w:r w:rsidRPr="00B212AF">
        <w:rPr>
          <w:rFonts w:ascii="Georgia" w:eastAsia="Times New Roman" w:hAnsi="Georgia" w:cs="Times New Roman"/>
          <w:color w:val="666666"/>
          <w:lang w:val="es-UY" w:eastAsia="es-UY"/>
        </w:rPr>
        <w:t> </w:t>
      </w:r>
    </w:p>
    <w:p w:rsidR="002E2F5B" w:rsidRDefault="00B212AF">
      <w:hyperlink r:id="rId29" w:history="1">
        <w:r w:rsidRPr="00461283">
          <w:rPr>
            <w:rStyle w:val="Hipervnculo"/>
          </w:rPr>
          <w:t>http://www.ihu.unisinos.br/605303-o-problema-do-mal-sua-evolucao-na-sociedade-reptiliana-e-a-abolicao-do-homem</w:t>
        </w:r>
      </w:hyperlink>
    </w:p>
    <w:p w:rsidR="00B212AF" w:rsidRPr="00B212AF" w:rsidRDefault="00B212AF"/>
    <w:sectPr w:rsidR="00B212AF" w:rsidRPr="00B2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AF"/>
    <w:rsid w:val="002E2F5B"/>
    <w:rsid w:val="00B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3A3C"/>
  <w15:chartTrackingRefBased/>
  <w15:docId w15:val="{9F5806EF-6C01-4E1E-B3EA-FC5C676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12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597694" TargetMode="External"/><Relationship Id="rId13" Type="http://schemas.openxmlformats.org/officeDocument/2006/relationships/hyperlink" Target="http://www.vatican.va/content/francesco/pt/encyclicals/documents/papa-francesco_20201003_enciclica-fratelli-tutti.html" TargetMode="External"/><Relationship Id="rId18" Type="http://schemas.openxmlformats.org/officeDocument/2006/relationships/hyperlink" Target="http://www.ihu.unisinos.br/599418" TargetMode="External"/><Relationship Id="rId26" Type="http://schemas.openxmlformats.org/officeDocument/2006/relationships/hyperlink" Target="http://www.ihu.unisinos.br/59755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hu.unisinos.br/78-noticias/600994-a-genealogia-do-liberalismo" TargetMode="External"/><Relationship Id="rId7" Type="http://schemas.openxmlformats.org/officeDocument/2006/relationships/hyperlink" Target="http://www.ihu.unisinos.br/598330" TargetMode="External"/><Relationship Id="rId12" Type="http://schemas.openxmlformats.org/officeDocument/2006/relationships/hyperlink" Target="http://www.ihu.unisinos.br/58603" TargetMode="External"/><Relationship Id="rId17" Type="http://schemas.openxmlformats.org/officeDocument/2006/relationships/hyperlink" Target="http://www.ihu.unisinos.br/578000" TargetMode="External"/><Relationship Id="rId25" Type="http://schemas.openxmlformats.org/officeDocument/2006/relationships/hyperlink" Target="http://www.ihu.unisinos.br/579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huonline.unisinos.br/media/pdf/IHUOnlineEdicao181.pdf" TargetMode="External"/><Relationship Id="rId20" Type="http://schemas.openxmlformats.org/officeDocument/2006/relationships/hyperlink" Target="http://www.ihu.unisinos.br/589653" TargetMode="External"/><Relationship Id="rId29" Type="http://schemas.openxmlformats.org/officeDocument/2006/relationships/hyperlink" Target="http://www.ihu.unisinos.br/605303-o-problema-do-mal-sua-evolucao-na-sociedade-reptiliana-e-a-abolicao-do-home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hu.unisinos.br/78-noticias/604814-ellacuria-teve-excelentes-professores-rahner-em-teologia-zubiri-em-filosofia-e-oscar-romero-em-compromisso-libertador-artigo-de-juan-jose-tamayo" TargetMode="External"/><Relationship Id="rId11" Type="http://schemas.openxmlformats.org/officeDocument/2006/relationships/hyperlink" Target="http://www.ihu.unisinos.br/588395" TargetMode="External"/><Relationship Id="rId24" Type="http://schemas.openxmlformats.org/officeDocument/2006/relationships/hyperlink" Target="http://www.ihu.unisinos.br/555480" TargetMode="External"/><Relationship Id="rId5" Type="http://schemas.openxmlformats.org/officeDocument/2006/relationships/hyperlink" Target="http://www.ihuonline.unisinos.br/artigo/2951-francisco-de-aquino-junior" TargetMode="External"/><Relationship Id="rId15" Type="http://schemas.openxmlformats.org/officeDocument/2006/relationships/hyperlink" Target="http://www.ihu.unisinos.br/585891" TargetMode="External"/><Relationship Id="rId23" Type="http://schemas.openxmlformats.org/officeDocument/2006/relationships/hyperlink" Target="http://www.ihu.unisinos.br/575269" TargetMode="External"/><Relationship Id="rId28" Type="http://schemas.openxmlformats.org/officeDocument/2006/relationships/hyperlink" Target="http://www.ihu.unisinos.br/575647" TargetMode="External"/><Relationship Id="rId10" Type="http://schemas.openxmlformats.org/officeDocument/2006/relationships/hyperlink" Target="http://www.ihu.unisinos.br/578765" TargetMode="External"/><Relationship Id="rId19" Type="http://schemas.openxmlformats.org/officeDocument/2006/relationships/hyperlink" Target="http://www.ihu.unisinos.br/58940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ihu.unisinos.br/603388-rumo-a-assis-na-direcao-da-economia-de-francisco-coluna-de-artigos-sobre-a-economia-de-francisco" TargetMode="External"/><Relationship Id="rId9" Type="http://schemas.openxmlformats.org/officeDocument/2006/relationships/hyperlink" Target="http://www.ihu.unisinos.br/598330" TargetMode="External"/><Relationship Id="rId14" Type="http://schemas.openxmlformats.org/officeDocument/2006/relationships/hyperlink" Target="http://www.ihu.unisinos.br/598157" TargetMode="External"/><Relationship Id="rId22" Type="http://schemas.openxmlformats.org/officeDocument/2006/relationships/hyperlink" Target="http://www.ihu.unisinos.br/587990" TargetMode="External"/><Relationship Id="rId27" Type="http://schemas.openxmlformats.org/officeDocument/2006/relationships/hyperlink" Target="http://www.ihu.unisinos.br/58880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3750</Words>
  <Characters>20628</Characters>
  <Application>Microsoft Office Word</Application>
  <DocSecurity>0</DocSecurity>
  <Lines>171</Lines>
  <Paragraphs>48</Paragraphs>
  <ScaleCrop>false</ScaleCrop>
  <Company/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2020-12-07T13:40:00Z</dcterms:created>
  <dcterms:modified xsi:type="dcterms:W3CDTF">2020-12-07T13:43:00Z</dcterms:modified>
</cp:coreProperties>
</file>