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ABC" w:rsidRPr="00FB2ABC" w:rsidRDefault="00FB2ABC" w:rsidP="00FB2ABC">
      <w:pPr>
        <w:shd w:val="clear" w:color="auto" w:fill="F9F9F9"/>
        <w:spacing w:before="100" w:beforeAutospacing="1" w:after="48" w:line="240" w:lineRule="auto"/>
        <w:outlineLvl w:val="0"/>
        <w:rPr>
          <w:rFonts w:ascii="Trebuchet MS" w:eastAsia="Times New Roman" w:hAnsi="Trebuchet MS" w:cs="Times New Roman"/>
          <w:b/>
          <w:bCs/>
          <w:color w:val="024D66"/>
          <w:kern w:val="36"/>
          <w:sz w:val="46"/>
          <w:szCs w:val="46"/>
          <w:lang w:val="es-UY" w:eastAsia="es-UY"/>
        </w:rPr>
      </w:pPr>
      <w:r w:rsidRPr="00FB2ABC">
        <w:rPr>
          <w:rFonts w:ascii="Trebuchet MS" w:eastAsia="Times New Roman" w:hAnsi="Trebuchet MS" w:cs="Times New Roman"/>
          <w:b/>
          <w:bCs/>
          <w:color w:val="024D66"/>
          <w:kern w:val="36"/>
          <w:sz w:val="46"/>
          <w:szCs w:val="46"/>
          <w:lang w:val="es-UY" w:eastAsia="es-UY"/>
        </w:rPr>
        <w:t>La encrucijada de derechos digitales en la educación</w:t>
      </w:r>
    </w:p>
    <w:p w:rsidR="00FB2ABC" w:rsidRPr="00FB2ABC" w:rsidRDefault="00FB2ABC" w:rsidP="00FB2ABC">
      <w:pPr>
        <w:shd w:val="clear" w:color="auto" w:fill="F9F9F9"/>
        <w:spacing w:before="24" w:after="150" w:line="240" w:lineRule="auto"/>
        <w:jc w:val="center"/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>Es necesario abogar por el rescate de la noción de datos públicos como un bien común.</w:t>
      </w:r>
    </w:p>
    <w:p w:rsidR="00FB2ABC" w:rsidRPr="00FB2ABC" w:rsidRDefault="00FB2ABC" w:rsidP="00FB2ABC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ind w:left="150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hyperlink r:id="rId5" w:history="1">
        <w:r w:rsidRPr="00FB2ABC">
          <w:rPr>
            <w:rFonts w:ascii="Trebuchet MS" w:eastAsia="Times New Roman" w:hAnsi="Trebuchet MS" w:cs="Times New Roman"/>
            <w:i/>
            <w:iCs/>
            <w:color w:val="DE0000"/>
            <w:sz w:val="27"/>
            <w:szCs w:val="27"/>
            <w:u w:val="single"/>
            <w:lang w:val="es-UY" w:eastAsia="es-UY"/>
          </w:rPr>
          <w:t xml:space="preserve">Fernanda </w:t>
        </w:r>
        <w:proofErr w:type="spellStart"/>
        <w:r w:rsidRPr="00FB2ABC">
          <w:rPr>
            <w:rFonts w:ascii="Trebuchet MS" w:eastAsia="Times New Roman" w:hAnsi="Trebuchet MS" w:cs="Times New Roman"/>
            <w:i/>
            <w:iCs/>
            <w:color w:val="DE0000"/>
            <w:sz w:val="27"/>
            <w:szCs w:val="27"/>
            <w:u w:val="single"/>
            <w:lang w:val="es-UY" w:eastAsia="es-UY"/>
          </w:rPr>
          <w:t>Campagnucci</w:t>
        </w:r>
        <w:proofErr w:type="spellEnd"/>
      </w:hyperlink>
    </w:p>
    <w:p w:rsidR="00FB2ABC" w:rsidRPr="00FB2ABC" w:rsidRDefault="00FB2ABC" w:rsidP="00FB2ABC">
      <w:pPr>
        <w:shd w:val="clear" w:color="auto" w:fill="F9F9F9"/>
        <w:spacing w:after="150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15/12/2020</w:t>
      </w:r>
    </w:p>
    <w:p w:rsidR="00FB2ABC" w:rsidRPr="00FB2ABC" w:rsidRDefault="00FB2ABC" w:rsidP="00FB2ABC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ind w:left="150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bookmarkStart w:id="0" w:name="_GoBack"/>
      <w:bookmarkEnd w:id="0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Análisis</w:t>
      </w:r>
    </w:p>
    <w:p w:rsidR="00FB2ABC" w:rsidRPr="00FB2ABC" w:rsidRDefault="00FB2ABC" w:rsidP="00FB2ABC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noProof/>
          <w:color w:val="4E4C4C"/>
          <w:sz w:val="27"/>
          <w:szCs w:val="27"/>
          <w:lang w:val="es-UY" w:eastAsia="es-UY"/>
        </w:rPr>
        <w:drawing>
          <wp:inline distT="0" distB="0" distL="0" distR="0" wp14:anchorId="5990BDFC" wp14:editId="2E422A14">
            <wp:extent cx="4762500" cy="35623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ABC" w:rsidRPr="00FB2ABC" w:rsidRDefault="00FB2ABC" w:rsidP="00FB2ABC">
      <w:pPr>
        <w:shd w:val="clear" w:color="auto" w:fill="FFFFFF"/>
        <w:spacing w:after="150" w:line="240" w:lineRule="auto"/>
        <w:jc w:val="center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Foto: Alexander 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ReyesNicaragua</w:t>
      </w:r>
      <w:proofErr w:type="spellEnd"/>
    </w:p>
    <w:p w:rsidR="00FB2ABC" w:rsidRPr="00FB2ABC" w:rsidRDefault="00FB2ABC" w:rsidP="00FB2ABC">
      <w:pPr>
        <w:shd w:val="clear" w:color="auto" w:fill="F9F9F9"/>
        <w:spacing w:after="150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hyperlink r:id="rId7" w:history="1">
        <w:r w:rsidRPr="00FB2ABC">
          <w:rPr>
            <w:rFonts w:ascii="Trebuchet MS" w:eastAsia="Times New Roman" w:hAnsi="Trebuchet MS" w:cs="Times New Roman"/>
            <w:color w:val="4D5C7D"/>
            <w:sz w:val="27"/>
            <w:szCs w:val="27"/>
            <w:u w:val="single"/>
            <w:vertAlign w:val="superscript"/>
            <w:lang w:val="es-UY" w:eastAsia="es-UY"/>
          </w:rPr>
          <w:t>-</w:t>
        </w:r>
        <w:r w:rsidRPr="00FB2ABC">
          <w:rPr>
            <w:rFonts w:ascii="Trebuchet MS" w:eastAsia="Times New Roman" w:hAnsi="Trebuchet MS" w:cs="Times New Roman"/>
            <w:color w:val="4D5C7D"/>
            <w:sz w:val="27"/>
            <w:szCs w:val="27"/>
            <w:u w:val="single"/>
            <w:lang w:val="es-UY" w:eastAsia="es-UY"/>
          </w:rPr>
          <w:t>A</w:t>
        </w:r>
      </w:hyperlink>
      <w:hyperlink r:id="rId8" w:history="1">
        <w:r w:rsidRPr="00FB2ABC">
          <w:rPr>
            <w:rFonts w:ascii="Trebuchet MS" w:eastAsia="Times New Roman" w:hAnsi="Trebuchet MS" w:cs="Times New Roman"/>
            <w:color w:val="4D5C7D"/>
            <w:sz w:val="27"/>
            <w:szCs w:val="27"/>
            <w:u w:val="single"/>
            <w:vertAlign w:val="superscript"/>
            <w:lang w:val="es-UY" w:eastAsia="es-UY"/>
          </w:rPr>
          <w:t>+</w:t>
        </w:r>
        <w:r w:rsidRPr="00FB2ABC">
          <w:rPr>
            <w:rFonts w:ascii="Trebuchet MS" w:eastAsia="Times New Roman" w:hAnsi="Trebuchet MS" w:cs="Times New Roman"/>
            <w:color w:val="4D5C7D"/>
            <w:sz w:val="27"/>
            <w:szCs w:val="27"/>
            <w:u w:val="single"/>
            <w:lang w:val="es-UY" w:eastAsia="es-UY"/>
          </w:rPr>
          <w:t>A</w:t>
        </w:r>
      </w:hyperlink>
    </w:p>
    <w:tbl>
      <w:tblPr>
        <w:tblW w:w="10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2"/>
        <w:gridCol w:w="246"/>
        <w:gridCol w:w="246"/>
        <w:gridCol w:w="246"/>
      </w:tblGrid>
      <w:tr w:rsidR="00FB2ABC" w:rsidRPr="00FB2ABC" w:rsidTr="00FB2A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2ABC" w:rsidRPr="00FB2ABC" w:rsidRDefault="00FB2ABC" w:rsidP="00FB2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Y" w:eastAsia="es-UY"/>
              </w:rPr>
            </w:pPr>
            <w:r w:rsidRPr="00FB2ABC">
              <w:rPr>
                <w:rFonts w:ascii="Times New Roman" w:eastAsia="Times New Roman" w:hAnsi="Times New Roman" w:cs="Times New Roman"/>
                <w:sz w:val="24"/>
                <w:szCs w:val="24"/>
                <w:lang w:val="es-UY" w:eastAsia="es-UY"/>
              </w:rPr>
              <w:t>Artículo publicado en la Revista América Latina en Movimiento No. </w:t>
            </w:r>
            <w:hyperlink r:id="rId9" w:history="1">
              <w:r w:rsidRPr="00FB2ABC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  <w:lang w:val="es-UY" w:eastAsia="es-UY"/>
                </w:rPr>
                <w:t>551: </w:t>
              </w:r>
              <w:r w:rsidRPr="00FB2ABC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  <w:u w:val="single"/>
                  <w:lang w:val="es-UY" w:eastAsia="es-UY"/>
                </w:rPr>
                <w:t>Derecho Humano a la Educación: horizontes y sentidos en la post pandemia</w:t>
              </w:r>
            </w:hyperlink>
            <w:r w:rsidRPr="00FB2ABC">
              <w:rPr>
                <w:rFonts w:ascii="Times New Roman" w:eastAsia="Times New Roman" w:hAnsi="Times New Roman" w:cs="Times New Roman"/>
                <w:sz w:val="24"/>
                <w:szCs w:val="24"/>
                <w:lang w:val="es-UY" w:eastAsia="es-UY"/>
              </w:rPr>
              <w:t> 10/12/2020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2ABC" w:rsidRPr="00FB2ABC" w:rsidRDefault="00FB2ABC" w:rsidP="00FB2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Y" w:eastAsia="es-UY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2ABC" w:rsidRPr="00FB2ABC" w:rsidRDefault="00FB2ABC" w:rsidP="00FB2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UY" w:eastAsia="es-UY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2ABC" w:rsidRPr="00FB2ABC" w:rsidRDefault="00FB2ABC" w:rsidP="00FB2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UY" w:eastAsia="es-UY"/>
              </w:rPr>
            </w:pPr>
          </w:p>
        </w:tc>
      </w:tr>
    </w:tbl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La pandemia de Covid-19 impuso la adopción más rápida y amplia ya vista de tecnologías para la enseñanza a distancia y comunicación entre estudiantes y docentes. Muchas veces, sin la debida transparencia de la donación o contratación pública en cuestión. Esta situación colocó al campo del derecho a la educación delante de una verdadera “encrucijada” de derechos: transparencia versus privacidad. Al mismo tiempo en que es necesario reafirmar el derecho y contener retrocesos acerca de la privacidad, también es necesario abogar por el rescate de la noción de </w:t>
      </w:r>
      <w:r w:rsidRPr="00FB2ABC">
        <w:rPr>
          <w:rFonts w:ascii="Trebuchet MS" w:eastAsia="Times New Roman" w:hAnsi="Trebuchet MS" w:cs="Times New Roman"/>
          <w:b/>
          <w:bCs/>
          <w:color w:val="4E4C4C"/>
          <w:sz w:val="27"/>
          <w:szCs w:val="27"/>
          <w:lang w:val="es-UY" w:eastAsia="es-UY"/>
        </w:rPr>
        <w:t xml:space="preserve">datos públicos como </w:t>
      </w:r>
      <w:r w:rsidRPr="00FB2ABC">
        <w:rPr>
          <w:rFonts w:ascii="Trebuchet MS" w:eastAsia="Times New Roman" w:hAnsi="Trebuchet MS" w:cs="Times New Roman"/>
          <w:b/>
          <w:bCs/>
          <w:color w:val="4E4C4C"/>
          <w:sz w:val="27"/>
          <w:szCs w:val="27"/>
          <w:lang w:val="es-UY" w:eastAsia="es-UY"/>
        </w:rPr>
        <w:lastRenderedPageBreak/>
        <w:t>un bien común</w:t>
      </w: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. La realización de esta idea depende de una gobernanza pública de la infraestructura digital, en la que el Estado se coloque como garante de estos derechos digitales.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Existe hoy un complejo mercado de datos personales en el mundo, del cual todos somos partícipes activos — estemos o no conscientes de nuestro papel. Nuestras “huellas digitales” son recolectadas a cada instante y lugar en cada aparato, dispositivo fijo o móvil, en los sitios en los que navegamos. Tal flujo constante de datos es almacenado y compartido entre diferentes actores institucionales y corporativos, formal e informalmente, en una compleja cadena de valor de un mercado lucrativo e invisible.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Los datos obtenidos y monetizados por medio de vigilancia tecnológica se volvieron tan centrales para el funcionamiento de esta “nueva economía” basada en internet que inspiraron un nuevo ropaje para el capitalismo: el </w:t>
      </w:r>
      <w:r w:rsidRPr="00FB2ABC">
        <w:rPr>
          <w:rFonts w:ascii="Trebuchet MS" w:eastAsia="Times New Roman" w:hAnsi="Trebuchet MS" w:cs="Times New Roman"/>
          <w:b/>
          <w:bCs/>
          <w:color w:val="4E4C4C"/>
          <w:sz w:val="27"/>
          <w:szCs w:val="27"/>
          <w:lang w:val="es-UY" w:eastAsia="es-UY"/>
        </w:rPr>
        <w:t>capitalismo</w:t>
      </w: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  <w:r w:rsidRPr="00FB2ABC">
        <w:rPr>
          <w:rFonts w:ascii="Trebuchet MS" w:eastAsia="Times New Roman" w:hAnsi="Trebuchet MS" w:cs="Times New Roman"/>
          <w:b/>
          <w:bCs/>
          <w:color w:val="4E4C4C"/>
          <w:sz w:val="27"/>
          <w:szCs w:val="27"/>
          <w:lang w:val="es-UY" w:eastAsia="es-UY"/>
        </w:rPr>
        <w:t>de vigilancia </w:t>
      </w: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(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Zuboff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, 2015). Este sistema tiene como uno de sus principales insumos los flujos de atención individual, y los datos recolectados son materia prima para analizar y prever gustos, intereses y deseos (Silveira, 2017).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La educación, especialmente pública, es un territorio codiciado. En primer lugar, porque el Estado reúne gran cantidad de datos de ciudadanos para operacionalizar políticas y servicios. En segundo lugar, porque este movimiento de búsqueda por explotación económica (o “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comoditización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”) de datos personales encuentra y potencializa otro: la privatización de la educación (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Adrião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&amp; Domiciano, 2018). La posibilidad de recolectar datos personales y atención pasa a valer más que el propio </w:t>
      </w:r>
      <w:r w:rsidRPr="00FB2ABC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>software. </w:t>
      </w: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Estos productos llegan a ser “donados” por empresas interesadas.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Tales mecanismos de usurpación y desvío de finalidad de datos personales de la comunidad educativa tienen potencial de profundizar desigualdades y tornar todavía más vulnerables a los grupos históricamente expuestos a procesos de exclusión y discriminación.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b/>
          <w:bCs/>
          <w:color w:val="4E4C4C"/>
          <w:sz w:val="27"/>
          <w:szCs w:val="27"/>
          <w:lang w:val="es-UY" w:eastAsia="es-UY"/>
        </w:rPr>
        <w:t>Derecho a la protección de datos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El sentido del debate sobre la privacidad vive de manera inequívoca en el campo de los derechos y libertades fundamentales. Desde la Declaración Universal de los Derechos Humanos de 1948, los textos buscan proteger el derecho a la intimidad y resguardar toda forma de comunicación telefónica, telegráfica o telemática, como internet. Y no solo del poder público, sino también —y, cada vez más— de actores privados (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Comparato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2010).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Este principio se mantiene, pero hoy gana peso la idea de que la privacidad comprende también el derecho del individuo a controlar aquello que es recolectado sobre sí — la protección de datos. Los </w:t>
      </w:r>
      <w:r w:rsidRPr="00FB2ABC">
        <w:rPr>
          <w:rFonts w:ascii="Trebuchet MS" w:eastAsia="Times New Roman" w:hAnsi="Trebuchet MS" w:cs="Times New Roman"/>
          <w:b/>
          <w:bCs/>
          <w:color w:val="4E4C4C"/>
          <w:sz w:val="27"/>
          <w:szCs w:val="27"/>
          <w:lang w:val="es-UY" w:eastAsia="es-UY"/>
        </w:rPr>
        <w:t>datos personales</w:t>
      </w: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son aquellos que se refieran a persona viva, identificada o identificable, incluso los que, en conjunto, puedan llevar a su identificación</w:t>
      </w:r>
      <w:bookmarkStart w:id="1" w:name="sdfootnote1anc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vertAlign w:val="superscript"/>
          <w:lang w:val="es-UY" w:eastAsia="es-UY"/>
        </w:rPr>
        <w:fldChar w:fldCharType="begin"/>
      </w: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vertAlign w:val="superscript"/>
          <w:lang w:val="es-UY" w:eastAsia="es-UY"/>
        </w:rPr>
        <w:instrText xml:space="preserve"> HYPERLINK "https://www.alainet.org/es/articulo/210199?utm_source=email&amp;utm_campaign=alai-amlatina" \l "sdfootnote1sym" </w:instrText>
      </w: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vertAlign w:val="superscript"/>
          <w:lang w:val="es-UY" w:eastAsia="es-UY"/>
        </w:rPr>
        <w:fldChar w:fldCharType="separate"/>
      </w:r>
      <w:r w:rsidRPr="00FB2ABC">
        <w:rPr>
          <w:rFonts w:ascii="Trebuchet MS" w:eastAsia="Times New Roman" w:hAnsi="Trebuchet MS" w:cs="Times New Roman"/>
          <w:color w:val="4D5C7D"/>
          <w:sz w:val="27"/>
          <w:szCs w:val="27"/>
          <w:u w:val="single"/>
          <w:vertAlign w:val="superscript"/>
          <w:lang w:val="es-UY" w:eastAsia="es-UY"/>
        </w:rPr>
        <w:t>1</w:t>
      </w: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vertAlign w:val="superscript"/>
          <w:lang w:val="es-UY" w:eastAsia="es-UY"/>
        </w:rPr>
        <w:fldChar w:fldCharType="end"/>
      </w:r>
      <w:bookmarkEnd w:id="1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. El tema viene ganando nuevo impulso con una nueva onda de aprobación de leyes específicas en la última década.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Entre todos los datos personales que deben ser protegidos, dos dimensiones merecen especial atención: los llamados </w:t>
      </w:r>
      <w:r w:rsidRPr="00FB2ABC">
        <w:rPr>
          <w:rFonts w:ascii="Trebuchet MS" w:eastAsia="Times New Roman" w:hAnsi="Trebuchet MS" w:cs="Times New Roman"/>
          <w:b/>
          <w:bCs/>
          <w:color w:val="4E4C4C"/>
          <w:sz w:val="27"/>
          <w:szCs w:val="27"/>
          <w:lang w:val="es-UY" w:eastAsia="es-UY"/>
        </w:rPr>
        <w:t>datos sensibles</w:t>
      </w: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y los datos cuyos titulares son</w:t>
      </w:r>
      <w:r w:rsidRPr="00FB2ABC">
        <w:rPr>
          <w:rFonts w:ascii="Trebuchet MS" w:eastAsia="Times New Roman" w:hAnsi="Trebuchet MS" w:cs="Times New Roman"/>
          <w:b/>
          <w:bCs/>
          <w:color w:val="4E4C4C"/>
          <w:sz w:val="27"/>
          <w:szCs w:val="27"/>
          <w:lang w:val="es-UY" w:eastAsia="es-UY"/>
        </w:rPr>
        <w:t> niñas, niños y adolescentes</w:t>
      </w: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. Para estos datos, la legislación reserva condiciones de tratamiento específicas y capas de protección extra.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La idea de que “la privacidad murió” —propagada por la industria de la tecnología— es uno de los mayores inconvenientes para reivindicar el derecho a la protección de datos. Para el público en general, esta negociación puede sonar justa: ¿cuál es el problema en suministrar informaciones personales a cambio de servicios gratuitos como juegos y aplicaciones de comunicación que me son útiles? </w:t>
      </w:r>
      <w:r w:rsidRPr="00FB2ABC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>Al</w:t>
      </w: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  <w:r w:rsidRPr="00FB2ABC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>final</w:t>
      </w: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—también se dice con frecuencia— “</w:t>
      </w:r>
      <w:r w:rsidRPr="00FB2ABC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>no</w:t>
      </w: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  <w:r w:rsidRPr="00FB2ABC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>tengo nada para esconder”</w:t>
      </w: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. El problema es que las personas no suelen saber la extensión de los datos que son recolectados sobre ellas. Más aún, desconocen los usos que se les puede dar, y las consecuencias inmediatas y futuras de esa concesión.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b/>
          <w:bCs/>
          <w:color w:val="4E4C4C"/>
          <w:sz w:val="27"/>
          <w:szCs w:val="27"/>
          <w:lang w:val="es-UY" w:eastAsia="es-UY"/>
        </w:rPr>
        <w:t>Riesgos del tratamiento inadecuado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En los mercados digitales, estos datos son muchas veces usados para </w:t>
      </w:r>
      <w:r w:rsidRPr="00FB2ABC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>data</w:t>
      </w: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  <w:proofErr w:type="spellStart"/>
      <w:r w:rsidRPr="00FB2ABC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>profiling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— procesos automatizados para construir perfiles individuales detallados destinados a “prever” e inducir comportamientos. Esto ocurre por medio de la recolección y análisis de “huellas digitales” durante la navegación por internet y el uso de aplicaciones.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El perfil digital clasifica a las personas individualmente en categorías, de acuerdo con “scores” de educación, empleo, visiones políticas, intereses de salud, religión y origen étnico, usos de medios, consumo, ingreso, estabilidad económica y personalidad. También incluyen análisis de sus comportamientos online, incluyendo tipos de 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sites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y contenidos visitados, intereses. Una de las empresas con la mayor base de datos sobre consumidores del mundo, 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Acxiom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, ya decía tener, en el 2013, hasta 3 mil atributos sobre 700 millones de personas. Oracle, gigante de tecnología, dice suministrar más de 30 mil elementos sobre 2 billones de perfiles (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Christl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Kopp &amp; 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Riechert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, 2017).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Este mercado y sus técnicas de “perfilamiento” no sirven solamente para fines publicitarios. El mundo del trabajo y del empleo, el sector inmobiliario, las compañías de seguro y de crédito, hasta incluso las dinámicas de la democracia y del debate electoral, del sistema de justicia y del estado de bienestar social — todos estos campos comienzan a ser afectados por el uso de tecnologías, de los algoritmos y de las decisiones automatizadas que se alimentan de estos datos. Y es por eso </w:t>
      </w:r>
      <w:proofErr w:type="gram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que</w:t>
      </w:r>
      <w:proofErr w:type="gram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, cuando son direccionadas a grupos tradicionalmente marginalizados, estas tecnologías pueden acentuar la desigualdad, creando un verdadero “</w:t>
      </w:r>
      <w:proofErr w:type="spellStart"/>
      <w:r w:rsidRPr="00FB2ABC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>feedback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  <w:proofErr w:type="spellStart"/>
      <w:r w:rsidRPr="00FB2ABC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>loop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de injusticia” (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Gangadharan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, 2017).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Por eso la protección de datos no versa solamente sobre violaciones como situaciones de filtración, invasión de sistema o intercambio indebido de datos. El debate legal sobre privacidad se viene pautando con frecuencia en las nociones de consentimiento y tratamiento de datos. Con el </w:t>
      </w:r>
      <w:r w:rsidRPr="00FB2ABC">
        <w:rPr>
          <w:rFonts w:ascii="Trebuchet MS" w:eastAsia="Times New Roman" w:hAnsi="Trebuchet MS" w:cs="Times New Roman"/>
          <w:b/>
          <w:bCs/>
          <w:color w:val="4E4C4C"/>
          <w:sz w:val="27"/>
          <w:szCs w:val="27"/>
          <w:lang w:val="es-UY" w:eastAsia="es-UY"/>
        </w:rPr>
        <w:t>consentimiento</w:t>
      </w: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, los ciudadanos que rindan sus datos declaran estar de acuerdo con la recolección y tratamiento que se pretenda darles a ellos. Es en las </w:t>
      </w:r>
      <w:r w:rsidRPr="00FB2ABC">
        <w:rPr>
          <w:rFonts w:ascii="Trebuchet MS" w:eastAsia="Times New Roman" w:hAnsi="Trebuchet MS" w:cs="Times New Roman"/>
          <w:b/>
          <w:bCs/>
          <w:color w:val="4E4C4C"/>
          <w:sz w:val="27"/>
          <w:szCs w:val="27"/>
          <w:lang w:val="es-UY" w:eastAsia="es-UY"/>
        </w:rPr>
        <w:t>políticas</w:t>
      </w: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  <w:r w:rsidRPr="00FB2ABC">
        <w:rPr>
          <w:rFonts w:ascii="Trebuchet MS" w:eastAsia="Times New Roman" w:hAnsi="Trebuchet MS" w:cs="Times New Roman"/>
          <w:b/>
          <w:bCs/>
          <w:color w:val="4E4C4C"/>
          <w:sz w:val="27"/>
          <w:szCs w:val="27"/>
          <w:lang w:val="es-UY" w:eastAsia="es-UY"/>
        </w:rPr>
        <w:t>de privacidad</w:t>
      </w: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—los contratos en “letra chica” de aplicaciones y servicios online— que este consentimiento suele ser recolectado. Las instituciones educativas son consideradas </w:t>
      </w:r>
      <w:r w:rsidRPr="00FB2ABC">
        <w:rPr>
          <w:rFonts w:ascii="Trebuchet MS" w:eastAsia="Times New Roman" w:hAnsi="Trebuchet MS" w:cs="Times New Roman"/>
          <w:b/>
          <w:bCs/>
          <w:color w:val="4E4C4C"/>
          <w:sz w:val="27"/>
          <w:szCs w:val="27"/>
          <w:lang w:val="es-UY" w:eastAsia="es-UY"/>
        </w:rPr>
        <w:t>responsables</w:t>
      </w: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  <w:r w:rsidRPr="00FB2ABC">
        <w:rPr>
          <w:rFonts w:ascii="Trebuchet MS" w:eastAsia="Times New Roman" w:hAnsi="Trebuchet MS" w:cs="Times New Roman"/>
          <w:b/>
          <w:bCs/>
          <w:color w:val="4E4C4C"/>
          <w:sz w:val="27"/>
          <w:szCs w:val="27"/>
          <w:lang w:val="es-UY" w:eastAsia="es-UY"/>
        </w:rPr>
        <w:t>por el tratamiento,</w:t>
      </w: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siempre que determinen la finalidad y los medios de una de esas operaciones con datos personales de la comunidad educativa. Inclusive si optaron por la contratación de terceros.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b/>
          <w:bCs/>
          <w:color w:val="4E4C4C"/>
          <w:sz w:val="27"/>
          <w:szCs w:val="27"/>
          <w:lang w:val="es-UY" w:eastAsia="es-UY"/>
        </w:rPr>
        <w:t>Tecnologías educativas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Esos terceros son actores cada vez más presentes en el escenario: las </w:t>
      </w:r>
      <w:proofErr w:type="spellStart"/>
      <w:r w:rsidRPr="00FB2ABC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>edtechs</w:t>
      </w:r>
      <w:proofErr w:type="spellEnd"/>
      <w:r w:rsidRPr="00FB2ABC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>. </w:t>
      </w: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La sigla, del inglés </w:t>
      </w:r>
      <w:proofErr w:type="spellStart"/>
      <w:r w:rsidRPr="00FB2ABC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>Education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  <w:r w:rsidRPr="00FB2ABC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>and</w:t>
      </w: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  <w:proofErr w:type="spellStart"/>
      <w:r w:rsidRPr="00FB2ABC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>Technology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, denomina de forma amplia a las empresas de productos para el sector educacional — hardware (equipamientos) y software (aplicaciones, programas y sistemas). La moda de juntar el sufijo “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tech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” al prefijo de la “industria” (</w:t>
      </w:r>
      <w:r w:rsidRPr="00FB2ABC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>agro</w:t>
      </w: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, </w:t>
      </w:r>
      <w:proofErr w:type="spellStart"/>
      <w:r w:rsidRPr="00FB2ABC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>gov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, </w:t>
      </w:r>
      <w:r w:rsidRPr="00FB2ABC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>ad</w:t>
      </w: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, </w:t>
      </w:r>
      <w:r w:rsidRPr="00FB2ABC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>fin</w:t>
      </w: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, </w:t>
      </w:r>
      <w:r w:rsidRPr="00FB2ABC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>legal</w:t>
      </w: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,</w:t>
      </w:r>
      <w:r w:rsidRPr="00FB2ABC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> </w:t>
      </w:r>
      <w:proofErr w:type="spellStart"/>
      <w:r w:rsidRPr="00FB2ABC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>health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) en general pretende resaltar el aspecto de innovación de las tecnologías del segmento, sean startups (empresas nacientes) o no. En Chile, había 100 empresas así. En Brasil, 449 (CIEB, 2020; Omidyar, 2019). Para prosperar, este mercado depende de la </w:t>
      </w:r>
      <w:r w:rsidRPr="00FB2ABC">
        <w:rPr>
          <w:rFonts w:ascii="Trebuchet MS" w:eastAsia="Times New Roman" w:hAnsi="Trebuchet MS" w:cs="Times New Roman"/>
          <w:b/>
          <w:bCs/>
          <w:color w:val="4E4C4C"/>
          <w:sz w:val="27"/>
          <w:szCs w:val="27"/>
          <w:lang w:val="es-UY" w:eastAsia="es-UY"/>
        </w:rPr>
        <w:t>infraestructura</w:t>
      </w: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de telecomunicaciones, electricidad e internet. Por eso, suele venir acompañado de fuerte </w:t>
      </w:r>
      <w:r w:rsidRPr="00FB2ABC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>lobby</w:t>
      </w: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para la expansión de programas público-privados de este tipo, para uso de las tecnologías dentro y fuera de las escuelas.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Todavía no hay un mapeo general y sistemático publicado sobre las prácticas de colecta de datos y de vigilancia en el campo de la educación, especialmente en América Latina y el Caribe. Mucho se discute el papel de las 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big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techs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en la violación de la privacidad digital, pero empresas más pequeñas del ramo de las 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edtechs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también pueden tener su modelo de negocios calcado en la recolección y en la transferencia de datos personales a terceros, o en el direccionamiento de anuncios y contenido personalizado a los usuarios. Este objetivo no siempre es explícitamente declarado. Las herramientas pueden ser adquiridas directamente por las escuelas o adoptadas por los departamentos de educación. Muchas veces, la adopción es ofrecida de forma gratuita para uso en las redes públicas, por medio de términos de cooperación entre las redes e instituciones como fundaciones o institutos privados. Justamente por no estar todavía en el radar de los estudios sobre la vigilancia en la educación, es necesario redoblar la atención.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La falta de materiales adecuados en las escuelas y el cuadro de financiación insuficiente de la educación enfrentado por los países de la región tornan a las escuelas más susceptibles a la adopción poco criteriosa de herramientas tecnológicas “gratuitas” que recolectan datos de la comunidad escolar. Ante esto, se hace difícil también la defensa del desarrollo de softwares propios o soluciones personalizadas, ya que estas traen posibles costos que serán vistos como más altos que el de herramientas “donadas”.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El pago por tales servicios es normalmente hecho en la forma de datos personales de estudiantes y maestros, algo no raro considerado por los responsables por las instituciones de enseñanza un precio justo por un servicio costoso. No debe solamente demandarse a los gobiernos y secretarías/departamentos públicos de educación como responsables por políticas de protección de datos personales. Cada unidad que operacionaliza la política pública de educación y que lidia con tecnologías, administrativas o pedagógicas, también lo es.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La comunidad educativa debe saber exactamente lo que se hace con sus datos. De ahí la necesidad de que el tratamiento sea, siempre, acompañado de políticas de transparencia y rendición de cuentas (</w:t>
      </w:r>
      <w:proofErr w:type="spellStart"/>
      <w:r w:rsidRPr="00FB2ABC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>accountability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). Desde que no expongan individuos, los datos deben ser tratados con la máxima transparencia, como bien común — incluyendo la del código fuente de las tecnologías adoptadas para las actividades educativas. El derecho de acceso a la información y el derecho a la privacidad no son derechos discordantes, sino complementarios. Especialmente en tiempos de pandemia, van a ser fundamentales para la plena garantía del derecho a la educación en el ambiente digital.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b/>
          <w:bCs/>
          <w:color w:val="4E4C4C"/>
          <w:sz w:val="27"/>
          <w:szCs w:val="27"/>
          <w:lang w:val="es-UY" w:eastAsia="es-UY"/>
        </w:rPr>
        <w:t xml:space="preserve">Fernanda </w:t>
      </w:r>
      <w:proofErr w:type="spellStart"/>
      <w:r w:rsidRPr="00FB2ABC">
        <w:rPr>
          <w:rFonts w:ascii="Trebuchet MS" w:eastAsia="Times New Roman" w:hAnsi="Trebuchet MS" w:cs="Times New Roman"/>
          <w:b/>
          <w:bCs/>
          <w:color w:val="4E4C4C"/>
          <w:sz w:val="27"/>
          <w:szCs w:val="27"/>
          <w:lang w:val="es-UY" w:eastAsia="es-UY"/>
        </w:rPr>
        <w:t>Campagnucci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 es directora ejecutiva de Open 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Knowledge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Brasil. Graduada en Periodismo y con maestría en Educación, es doctoranda en Administración Pública por la FGV-SP. </w:t>
      </w:r>
      <w:hyperlink r:id="rId10" w:history="1">
        <w:r w:rsidRPr="00FB2ABC">
          <w:rPr>
            <w:rFonts w:ascii="Trebuchet MS" w:eastAsia="Times New Roman" w:hAnsi="Trebuchet MS" w:cs="Times New Roman"/>
            <w:color w:val="4D5C7D"/>
            <w:sz w:val="27"/>
            <w:szCs w:val="27"/>
            <w:u w:val="single"/>
            <w:lang w:val="es-UY" w:eastAsia="es-UY"/>
          </w:rPr>
          <w:t>https://twitter.com/fecampa</w:t>
        </w:r>
      </w:hyperlink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b/>
          <w:bCs/>
          <w:color w:val="4E4C4C"/>
          <w:sz w:val="27"/>
          <w:szCs w:val="27"/>
          <w:lang w:val="es-UY" w:eastAsia="es-UY"/>
        </w:rPr>
        <w:t>Referencias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Adrião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T. &amp; C. A. Domiciano. (2018). “A 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Educação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Pública e as 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Corporações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: 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Avanços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e 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Contradições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Em 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Uma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Década de 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Ampliação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de Investimento No Brasil.” FINEDUCA - Revista de 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Financiamento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Da 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Educação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8.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CIEB. (2020). </w:t>
      </w:r>
      <w:proofErr w:type="spellStart"/>
      <w:r w:rsidRPr="00FB2ABC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>Mapeamento</w:t>
      </w:r>
      <w:proofErr w:type="spellEnd"/>
      <w:r w:rsidRPr="00FB2ABC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FB2ABC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>Edtech</w:t>
      </w:r>
      <w:proofErr w:type="spellEnd"/>
      <w:r w:rsidRPr="00FB2ABC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 xml:space="preserve">: </w:t>
      </w:r>
      <w:proofErr w:type="spellStart"/>
      <w:r w:rsidRPr="00FB2ABC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>Investigação</w:t>
      </w:r>
      <w:proofErr w:type="spellEnd"/>
      <w:r w:rsidRPr="00FB2ABC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 xml:space="preserve"> sobre as </w:t>
      </w:r>
      <w:proofErr w:type="spellStart"/>
      <w:r w:rsidRPr="00FB2ABC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>tecnologias</w:t>
      </w:r>
      <w:proofErr w:type="spellEnd"/>
      <w:r w:rsidRPr="00FB2ABC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FB2ABC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>educacionais</w:t>
      </w:r>
      <w:proofErr w:type="spellEnd"/>
      <w:r w:rsidRPr="00FB2ABC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 xml:space="preserve"> no Brasil 2019</w:t>
      </w: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.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Christl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W., Kopp, K. &amp; 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Riechert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, P. U. (2017). </w:t>
      </w:r>
      <w:proofErr w:type="spellStart"/>
      <w:r w:rsidRPr="00FB2ABC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>Corporate</w:t>
      </w:r>
      <w:proofErr w:type="spellEnd"/>
      <w:r w:rsidRPr="00FB2ABC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FB2ABC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>surveillance</w:t>
      </w:r>
      <w:proofErr w:type="spellEnd"/>
      <w:r w:rsidRPr="00FB2ABC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 xml:space="preserve"> in </w:t>
      </w:r>
      <w:proofErr w:type="spellStart"/>
      <w:r w:rsidRPr="00FB2ABC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>everyday</w:t>
      </w:r>
      <w:proofErr w:type="spellEnd"/>
      <w:r w:rsidRPr="00FB2ABC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FB2ABC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>life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. 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Cracked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Labs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.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Comparato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F. K. (2010). A 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Afirmação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Histórica Dos 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Direitos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Humanos. 7. ed. São Paulo: Saraiva.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Gangadharan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S. P. (2017). 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The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downside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of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digital 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inclusion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: 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Expectations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and 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experiences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of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privacy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and 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surveillance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among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marginal Internet 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users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. </w:t>
      </w:r>
      <w:r w:rsidRPr="00FB2ABC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 xml:space="preserve">New Media and </w:t>
      </w:r>
      <w:proofErr w:type="spellStart"/>
      <w:r w:rsidRPr="00FB2ABC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>Society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.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Omidyar (2019). 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Scaling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Access &amp; 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Impact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: 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Realizing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the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Power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of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EdTech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. Chile Country 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Report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.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Silveira, S. (2017). 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Tudo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Sobre 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Tod@s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: Redes 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Digitais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Privacidade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e Venda de Dados. São Paulo: 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Edições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Sesc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SP.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Zuboff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, S. (2015). “Big 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Other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: 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Surveillance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Capitalism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and 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the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Prospects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of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an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Information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Civilization.” </w:t>
      </w:r>
      <w:proofErr w:type="spellStart"/>
      <w:r w:rsidRPr="00FB2ABC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>Journal</w:t>
      </w:r>
      <w:proofErr w:type="spellEnd"/>
      <w:r w:rsidRPr="00FB2ABC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FB2ABC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>of</w:t>
      </w:r>
      <w:proofErr w:type="spellEnd"/>
      <w:r w:rsidRPr="00FB2ABC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FB2ABC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>Information</w:t>
      </w:r>
      <w:proofErr w:type="spellEnd"/>
      <w:r w:rsidRPr="00FB2ABC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 xml:space="preserve"> </w:t>
      </w:r>
      <w:proofErr w:type="spellStart"/>
      <w:r w:rsidRPr="00FB2ABC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>Technology</w:t>
      </w:r>
      <w:proofErr w:type="spellEnd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30(1): 75–89.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bookmarkStart w:id="2" w:name="sdfootnote1sym"/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fldChar w:fldCharType="begin"/>
      </w: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instrText xml:space="preserve"> HYPERLINK "https://www.alainet.org/es/articulo/210199?utm_source=email&amp;utm_campaign=alai-amlatina" \l "sdfootnote1anc" </w:instrText>
      </w: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fldChar w:fldCharType="separate"/>
      </w:r>
      <w:r w:rsidRPr="00FB2ABC">
        <w:rPr>
          <w:rFonts w:ascii="Trebuchet MS" w:eastAsia="Times New Roman" w:hAnsi="Trebuchet MS" w:cs="Times New Roman"/>
          <w:color w:val="4D5C7D"/>
          <w:sz w:val="27"/>
          <w:szCs w:val="27"/>
          <w:u w:val="single"/>
          <w:lang w:val="es-UY" w:eastAsia="es-UY"/>
        </w:rPr>
        <w:t>1</w:t>
      </w: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fldChar w:fldCharType="end"/>
      </w:r>
      <w:bookmarkEnd w:id="2"/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La normativa europea es referencia de otras legislaciones en la materia. Disponible en: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hyperlink r:id="rId11" w:anchor="referncias" w:history="1">
        <w:r w:rsidRPr="00FB2ABC">
          <w:rPr>
            <w:rFonts w:ascii="Trebuchet MS" w:eastAsia="Times New Roman" w:hAnsi="Trebuchet MS" w:cs="Times New Roman"/>
            <w:color w:val="4D5C7D"/>
            <w:sz w:val="27"/>
            <w:szCs w:val="27"/>
            <w:u w:val="single"/>
            <w:lang w:val="es-UY" w:eastAsia="es-UY"/>
          </w:rPr>
          <w:t>https://ec.europa.eu/info/law/law-topic/data-protection/reform/what-personal-data_pt#referncias</w:t>
        </w:r>
      </w:hyperlink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.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Último acceso 29/10/2020.</w:t>
      </w:r>
    </w:p>
    <w:p w:rsidR="00FB2ABC" w:rsidRPr="00FB2ABC" w:rsidRDefault="00FB2ABC" w:rsidP="00FB2ABC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:rsidR="00FB2ABC" w:rsidRPr="00FB2ABC" w:rsidRDefault="00FB2ABC" w:rsidP="00FB2ABC">
      <w:pPr>
        <w:shd w:val="clear" w:color="auto" w:fill="FFFFFF"/>
        <w:spacing w:before="24" w:after="150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:rsidR="00FB2ABC" w:rsidRPr="00FB2ABC" w:rsidRDefault="00FB2ABC" w:rsidP="00FB2ABC">
      <w:pPr>
        <w:shd w:val="clear" w:color="auto" w:fill="F9F9F9"/>
        <w:spacing w:after="150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FB2ABC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https://www.alainet.org/es/articulo/210199</w:t>
      </w:r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D166C"/>
    <w:multiLevelType w:val="multilevel"/>
    <w:tmpl w:val="E0A6B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A025E87"/>
    <w:multiLevelType w:val="multilevel"/>
    <w:tmpl w:val="3A9A8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E9914F3"/>
    <w:multiLevelType w:val="multilevel"/>
    <w:tmpl w:val="B36E1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ABC"/>
    <w:rsid w:val="002E2F5B"/>
    <w:rsid w:val="00FB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4AFDE-E56D-4BB1-9990-D6A88F3E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1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9932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0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5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43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10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780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6009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14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1843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889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60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895905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719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7192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806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1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2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495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3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4140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1151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5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4753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6955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5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71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55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23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0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8720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3191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8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6069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07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8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7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62918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137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6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1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61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6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42262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924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ec.europa.eu/info/law/law-topic/data-protection/reform/what-personal-data_pt" TargetMode="External"/><Relationship Id="rId5" Type="http://schemas.openxmlformats.org/officeDocument/2006/relationships/hyperlink" Target="https://www.alainet.org/es/autores/fernanda-campagnucci" TargetMode="External"/><Relationship Id="rId10" Type="http://schemas.openxmlformats.org/officeDocument/2006/relationships/hyperlink" Target="https://twitter.com/fecamp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lainet.org/es/revistas/55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2031</Words>
  <Characters>11175</Characters>
  <Application>Microsoft Office Word</Application>
  <DocSecurity>0</DocSecurity>
  <Lines>93</Lines>
  <Paragraphs>26</Paragraphs>
  <ScaleCrop>false</ScaleCrop>
  <Company/>
  <LinksUpToDate>false</LinksUpToDate>
  <CharactersWithSpaces>13180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2020-12-17T11:00:00Z</dcterms:created>
  <dcterms:modified xsi:type="dcterms:W3CDTF">2020-12-17T11:01:00Z</dcterms:modified>
</cp:coreProperties>
</file>