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8E" w:rsidRPr="00B35A8E" w:rsidRDefault="00B35A8E" w:rsidP="00B35A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</w:pPr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As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dioceses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e as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paróquias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não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são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mais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as mesmas. Artigo de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Manoel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José de Godoy, Matheus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Bernardes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e </w:t>
      </w:r>
      <w:proofErr w:type="spellStart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>Patriky</w:t>
      </w:r>
      <w:proofErr w:type="spellEnd"/>
      <w:r w:rsidRPr="00B35A8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63"/>
          <w:szCs w:val="63"/>
          <w:lang w:val="es-UY" w:eastAsia="es-UY"/>
        </w:rPr>
        <w:t xml:space="preserve"> Batista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B35A8E">
        <w:rPr>
          <w:rFonts w:ascii="Arial" w:eastAsia="Times New Roman" w:hAnsi="Arial" w:cs="Arial"/>
          <w:color w:val="FFFFFF"/>
          <w:sz w:val="24"/>
          <w:szCs w:val="24"/>
          <w:lang w:val="es-UY" w:eastAsia="es-UY"/>
        </w:rPr>
        <w:t xml:space="preserve">Foto: </w:t>
      </w:r>
      <w:proofErr w:type="spellStart"/>
      <w:r w:rsidRPr="00B35A8E">
        <w:rPr>
          <w:rFonts w:ascii="Arial" w:eastAsia="Times New Roman" w:hAnsi="Arial" w:cs="Arial"/>
          <w:color w:val="FFFFFF"/>
          <w:sz w:val="24"/>
          <w:szCs w:val="24"/>
          <w:lang w:val="es-UY" w:eastAsia="es-UY"/>
        </w:rPr>
        <w:t>Pixabay</w:t>
      </w:r>
      <w:proofErr w:type="spellEnd"/>
    </w:p>
    <w:p w:rsidR="00B35A8E" w:rsidRPr="00B35A8E" w:rsidRDefault="00B35A8E" w:rsidP="00B35A8E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val="es-UY" w:eastAsia="es-UY"/>
        </w:rPr>
      </w:pPr>
      <w:r w:rsidRPr="00B35A8E">
        <w:rPr>
          <w:rFonts w:ascii="Arial" w:eastAsia="Times New Roman" w:hAnsi="Arial" w:cs="Arial"/>
          <w:color w:val="666666"/>
          <w:sz w:val="21"/>
          <w:szCs w:val="21"/>
          <w:lang w:val="es-UY" w:eastAsia="es-UY"/>
        </w:rPr>
        <w:t xml:space="preserve">29 </w:t>
      </w:r>
      <w:proofErr w:type="spellStart"/>
      <w:r w:rsidRPr="00B35A8E">
        <w:rPr>
          <w:rFonts w:ascii="Arial" w:eastAsia="Times New Roman" w:hAnsi="Arial" w:cs="Arial"/>
          <w:color w:val="666666"/>
          <w:sz w:val="21"/>
          <w:szCs w:val="21"/>
          <w:lang w:val="es-UY" w:eastAsia="es-UY"/>
        </w:rPr>
        <w:t>Dezembro</w:t>
      </w:r>
      <w:proofErr w:type="spellEnd"/>
      <w:r w:rsidRPr="00B35A8E">
        <w:rPr>
          <w:rFonts w:ascii="Arial" w:eastAsia="Times New Roman" w:hAnsi="Arial" w:cs="Arial"/>
          <w:color w:val="666666"/>
          <w:sz w:val="21"/>
          <w:szCs w:val="21"/>
          <w:lang w:val="es-UY" w:eastAsia="es-UY"/>
        </w:rPr>
        <w:t xml:space="preserve"> 2020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cuidado para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ansiedade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tempos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pós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-pandemia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apostar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unilaterais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vista o destino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disposição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evangélica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profética dos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ordenados, nada acontecerá.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única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evangelizadora,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capaz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reformar,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tempo presente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alegrias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tristezas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angústias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(GS 01), continuará a ser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Igreja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comunidades que vive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casas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Entretanto, estar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proximidade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nunca é urgente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presente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José de Godoy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Matheus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Batista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em artigo publicado no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"http://www.ihu.unisinos.br/images/stories/cadernos/teopublica/148cadernosteologiapublica.pdf"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Cadernos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Pública,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Nº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148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Humanitas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Unisinos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- IHU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José de Godoy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Bacharel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mestre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Jesuíta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e Supervisor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Estágio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FAJE.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Centro Loyola de Belo Horizonte e no CEBITEPAL,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órgão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CELAM-Bogotá,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Colômbia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Membro da Equipe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Coordenadora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Ameríndia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Administrador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Paroquial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São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Tarcísio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Cintra,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periferia de BH.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Matheus S.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.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Presbítero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Arquidiocese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Campinas/ SP. Mestre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Sistemática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Pontifícia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PUC-SP), em 2008,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Especialização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Jesuíta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(FAJE), em 2018. Aluno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PPG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Sistemática (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FAJE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PUC-Campinas. Participa dos grupos de pesquisa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Pastoral, da FAJE,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Inteligência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Senciente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PUC-SP,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estreito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vínculo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Fundación Xavier Zubiri,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Madri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/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Espanha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lastRenderedPageBreak/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Samuel Batista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Especialista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pela FAJE - BH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graduado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missiologia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Secretário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executivo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CNBB e membro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Conselho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Gestor do Fundo Nacional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Padre Diocesano do clero de Luz-MG.</w:t>
      </w:r>
    </w:p>
    <w:p w:rsidR="00B35A8E" w:rsidRPr="00B35A8E" w:rsidRDefault="00B35A8E" w:rsidP="00B35A8E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5A8E" w:rsidRPr="00B35A8E" w:rsidRDefault="00B35A8E" w:rsidP="00B35A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Eis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o artigo.</w:t>
      </w:r>
    </w:p>
    <w:p w:rsidR="00B35A8E" w:rsidRPr="00B35A8E" w:rsidRDefault="00B35A8E" w:rsidP="00B35A8E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27 de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março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2020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espalhava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rapidamente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Europa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hyperlink r:id="rId4" w:tgtFrame="_blank" w:history="1"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papa Francisco</w:t>
        </w:r>
      </w:hyperlink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Praça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São Pedro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vazia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rezou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pandemia.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assertiva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detivemos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apelos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despertamos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guerras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injustiças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planetárias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grito dos pobres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planeta gravemente enfermo.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destemidos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pensando que continuaríamos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saudáveis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num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mundo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mar agitado, te imploramos: ‘Acorda,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!’” (FRANCISCO, 2020a).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Podemos entender, a partir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significou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disseminação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doença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inteira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Podemos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mesmo das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Podemos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mesmo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"http://www.ihu.unisinos.br/78-noticias/598614-nossas-paroquias-estao-prontas-para-acolher-as-hordas-de-pobres-que-vao-surgir"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queremos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 pandemia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traçar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perspectivas de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futuro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pretensão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esgotar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temática, mas estimular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todas para que sigamos corajosamente a agenda eclesial do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Concílio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Vaticano II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ressaltada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papa Francisco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magistério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Vale destacar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será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ousadia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vencer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letal: o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clericalismo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Como as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chegaram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à pandemia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contínuo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slogan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seremos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mesmos. Será? Falamos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normal que faria surgir 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amadurecimento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humano,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ele,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amadurecimento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renovação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Católica. Pode até ser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humanidade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rasgos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espiritualidade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profunda, marcada pela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efemeridade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afirmar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sólidas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sofrerão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abalos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significativos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constatação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caso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diocesanas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paroquiais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clamam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renovação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e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"http://www.ihu.unisinos.br/78-noticias/604896-a-economia-de-francisco-urge-uma-nova-narrativa-da-economia-a-videomensagem-do-papa-francisco"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horizontes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“A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caduca; precisamente porque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possui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plasticidade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requerem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docilidade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criatividade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missionária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Pastor e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(EG 28).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Exatamente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causa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plasticidade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mantêm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firmes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parecendo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ignorar as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mudanças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de época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papa Francisco condiciona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sentimentos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esperados dos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ordenados: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docilidade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criatividade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missionária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O clericalismo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tem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forte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ingrediente misógino e é alimentador 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preconceitos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sendo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forte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laicofobia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5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cuidado para que 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ansiedade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pelos tempos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apostar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unilaterais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vista o destino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disposição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evangélica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profética dos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ordenados, nada acontecerá.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única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evangelizadora,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capaz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reformar,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tempo presente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alegrias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tristezas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angústias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(GS 01), continuará a ser Igreja,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comunidades que vive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casas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Entretanto, estar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proximidade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nunca é urgente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presente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grande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diocesanas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paroquiais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estáticas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planejamentos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planos de pastoral até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fiéis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encarregados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evangelizadora.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fala que vivemos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em que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crê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testemunhos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textos.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tratamento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choque,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radicadas do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Evangelho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atentas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tempos,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abrir novas pistas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transformação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faremos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achegas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acolá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tempo,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contribuir para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inauguração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rumos, ficará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lembrança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oportunidade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perdida!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único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ilustrar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perspectiva: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clericalismo, que invade toda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eclesial,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resultar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paralisada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contraposição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papa Francisco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missionária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saída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clericalismo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ingrediente misógino e é alimentador de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preconceitos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laicofobia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empoderamento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discursos,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Eclesiologia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Deus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protagonismo laical em todos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nada mudará.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radical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papel da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mulher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ficará como está.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As portas fechadas dos templos, durante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reclusão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imposta pela pandemia,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sugerir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recolhimento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purificador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insistentemente convida o papa Francisco. Mas o que vimos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exposição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mídia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clero-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ostentação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modismos e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questionável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centrada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manutenção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chamados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sacramentais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lugar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evangelizador.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métodos pedagógicos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amenizado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distanciamento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favorecido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discípulos e discípulas, levando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iniciação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indivíduos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de repente,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encontrado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"http://www.ihu.unisinos.br/78-noticias/595625-uso-acritico-das-redes-sociais-pode-levar-a-manipulacao-de-consumo-e-massificacao-de-gostos"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 redes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partilhas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querigmáticas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preparamos a Igreja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limites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pré-estabelecidos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solidificadas. Ignoramos a crítica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diálogo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Samaritana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sobre a tentativa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engaiolar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sagrado.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 lugar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adoração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hora –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em que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adoradores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adorarão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Pai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(Jo 4,20-23).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A grande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questão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é que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diocesanas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paroquiais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tornaram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estáticas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frias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planejamentos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planos de pastoral até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feitos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chegam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corações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fiéis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6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rápido giro pela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faz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do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século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IV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até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Concílio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Vaticano II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amoldando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diversas conjunturas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culturais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Todavia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hábitos adquiridos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eclesial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transformaram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cláusulas pétreas.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revelada é capaz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tornar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parâmetro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hermenêuticas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sobrepuseram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primitivos;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selecionam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textos sagrados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ocasião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"http://www.ihu.unisinos.br/images/ihu/2019/Eventos/Landing_Sinodo/Evangelli_Gadium.pdf"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Evangelii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Gaudium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superior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(EG 222-225).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definição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territorial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predominante, mesmo que constatemos,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espaços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urbanos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afetivo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pertença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flexibilizando o territorial. O que vemos,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se contenta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aí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recebido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detrimento do que caracteriza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autêntico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vida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comunitária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perdemos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debate sobre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investir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obtermos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substantivas: no ser humano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Dizíamos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mudamos o ser humano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mudadas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mudamos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farão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emergir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Ora,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dialética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percebamos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seres humanos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novas para seres humanos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concomitante.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faz-se urgente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redescobrir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horizontes.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excelente pista pastoral que,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lugares se fortalece, é o retorno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descentralizada em redes será capaz de evangelizar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becos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tanto os geográficos como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existenciais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convictos de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Jesus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pobres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pelos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enfermos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pelos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pequeninos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preciso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 de conforto e ir para as periferias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existenciais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latitudes.</w:t>
      </w:r>
    </w:p>
    <w:p w:rsidR="00B35A8E" w:rsidRPr="00B35A8E" w:rsidRDefault="00B35A8E" w:rsidP="00B35A8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A pandemia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chegou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às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comunidades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debate sobre a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virtualização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Desde a segunda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metade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década de noventa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temática ocupa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católica no Brasil. O que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pandemia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coronavírus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acelerado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début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ordenados nos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meios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digitais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mesmo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mínimos recursos técnicos para “transmitir”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dar por contentes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finalmente,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 </w:t>
      </w:r>
      <w:hyperlink r:id="rId7" w:tgtFrame="_blank" w:history="1"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plataformas </w:t>
        </w:r>
        <w:proofErr w:type="spellStart"/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digitais</w:t>
        </w:r>
        <w:proofErr w:type="spellEnd"/>
      </w:hyperlink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 pandemia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seria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rasa. O que 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virtualização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revela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grave,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sobreviveu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clericalismo.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  <w:t xml:space="preserve">O uso do verbo “transmitir”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aleatório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ministros ordenados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contentaram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a cobrar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transmitiam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litúrgica pode ser “transmitida”,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programa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televisão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internet?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supõe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emissor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receptor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espectador.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litúrgicas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performadas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espectadores?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A pastoral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pode ser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reduzida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manutenção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de templos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prédios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8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liturgia é por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excelência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comunitária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mesmo que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fiéis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estejam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impossibilitados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estar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fisicamente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templos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eles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presentes de forma mediada.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presentes,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participando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assistindo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Entretanto,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proliferação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transmissões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litúrgicas durante 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dependentes dos ministros ordenados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nutrida pelo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Pão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pode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partilhado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todos os lares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todas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doméstica da Igreja” durante a pandemia pode até ter sido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infelizmente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procura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excessiva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digital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clericalizada.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das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manutenção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circulando, dada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atividade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sentimos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diminuição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entradas: 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dízimo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despencou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eventos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resultado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paralisação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obras, o corte de gastos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desnecessários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especialmente os gastos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excessivos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material litúrgico, e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a dispensa de colaboradores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colaboradoras – infelizmente.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revela?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aspectos: o peso do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falta de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estratégia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pastoral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eclesiástico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para as comunidades.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obrigadas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custoso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esgotando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criatividade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arrecadar recursos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calendário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anual pautado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festas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quermesses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!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o momento de repensar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caminhada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fala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pastoral,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 o peso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pastoral, as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desenvolverão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adiante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falta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peso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eclesiástica?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eclesiológica?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 Igreja,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Lumen Gentium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ressalta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eclesiológica fundamental é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 (LG II); mesmo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hierarquicamente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ordenado (LG III),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Todos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constituídos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orientados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episcopal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(LG 20-23);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epíscopos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sucessores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beberam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Ressuscitado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(At 10,41).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testemunhar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santificar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pastorear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base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 pelo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Santo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(LG 24-27).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os presbíteros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diáconos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entender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epíscopo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colégio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unido, está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(LG 28-29; PO 08). O que acontece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constituídos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 é equivocada?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epíscopos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administradores de grandes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chamadas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 os presbíteros como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epíscopos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chamadas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pastoral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reduzida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manutenção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templos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prédios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menos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à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satisfação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estéticos dos agentes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ordenados.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desenvolver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religiosidade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estética, mas nada evangélica. A pandemia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coronavírus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presas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patrimônio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peso para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almejada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pastoral das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(EG 25-26).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Finalmente, o que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empobrecimento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rápido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até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mínimo para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sobrevivência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causada pelo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enorme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velhos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extrema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"http://www.ihu.unisinos.br/78-noticias/603487-covid-19-o-virus-do-capitalismo-e-a-explosao-historica-do-desemprego-artigo-de-eduardo-camin"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fragilidade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social e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econômica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sensibilizaram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prontamente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redes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lugar, que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durante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semanas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meses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confinamento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comprometidos. Evidentemente,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ministros ordenados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estiveram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envolvidos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arrecadação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distribuição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cestas básicas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material de higiene para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necessitados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frente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pensar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das comunidades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essencial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Para fermentar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nova cultura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podemos omitir o diálogo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ciência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nem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nos privar do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compromisso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de iniciar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processos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promoção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educação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integral </w:t>
      </w:r>
      <w:proofErr w:type="gram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humanística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9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 restringir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ad extra;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essencial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comprometidos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gozem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atuarem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ad intra </w:t>
      </w:r>
      <w:proofErr w:type="spellStart"/>
      <w:r w:rsidRPr="00B35A8E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ecclesiam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sensibilidade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alheio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vista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momentos críticos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 pandemia.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hora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aproveitar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necessitados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decidir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preferencial, mas fundamentalmente pelos pobres?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Afinal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contas, o Reino é deles (Mt 5, 3),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ungido pelo Espírito para anunciar a Boa-Nova a eles (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Lc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4,18).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Seria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enorme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despertada pela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“obra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 Toda a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"http://www.ihu.unisinos.br/78-noticias/597253-gestos-de-solidariedade-comecam-a-surgir-em-meio-a-pandemia-do-coronavirus"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sensibilização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miséria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vulneráveis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oportunidade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a Igreja recupere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pobre, como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conferências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Medellín (Pobreza da Igreja 8) e Puebla (733-735)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proclamaram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a pandemia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passar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...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apresentado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curso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anos. A pandemia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coronavírus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tornou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catalisador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tantas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segunda década no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milênio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como superar o mal do clericalismo? Mas parece que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"http://www.ihu.unisinos.br/images/stories/cadernos/teopublica/149cadernosteologiapublica.pdf"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Vinho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em odres </w:t>
      </w:r>
      <w:proofErr w:type="spellStart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novos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(Mc 2,22).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vinho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apreciado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odre que simboliza a ternura entre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cuidado pela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casa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tempo, a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porta-voz dos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clamores da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das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comunidades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originários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dar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testemunho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simples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visto no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Vaticano, onde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copos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descartáveis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lixo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 </w:t>
      </w:r>
      <w:hyperlink r:id="rId10" w:tgtFrame="_blank" w:history="1"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fermentar </w:t>
        </w:r>
        <w:proofErr w:type="spellStart"/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uma</w:t>
        </w:r>
        <w:proofErr w:type="spellEnd"/>
        <w:r w:rsidRPr="00B35A8E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nova cultura</w:t>
        </w:r>
      </w:hyperlink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omitir o diálogo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privar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iniciar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educação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integral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humanística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Para o papa Francisco, pensar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pensar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futuras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futuro da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pacto educativo global surge como eminente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esforços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diversos atores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fermento para inaugurar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futuro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promissor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movimentos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o diálogo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ecumênico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inter-religioso</w:t>
      </w:r>
      <w:proofErr w:type="spellEnd"/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crentes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sentido,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populares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energia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moral capaz de revitalizar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democracias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“Evangelizar é tornar o Reino de Deus presente no mundo” (EG 176; EN 06). E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preciso que as comunidades diocesanas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paroquiais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promovam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favoreçam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Cristo.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Redescobrir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valor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querigma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coloca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evidência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beleza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indiferente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vulnerabilidade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atenta 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economia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ajudará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a construir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mundo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1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planejamento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centro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Cristo,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Planejamentos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nascem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dos clamores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tempos; prioridades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pistas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construídas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gabinetes,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rodas de conversa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comunitárias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grupos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conselhos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pastoral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distantes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oferece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naturalize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missionário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sinodal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renove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antes dos estatutos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decretos. Onde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brote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partilha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evidente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testemunham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pastorais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tantas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criticadas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priorizadas pelos pastores,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pandemia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mostraram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beleza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ter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organizado para responder,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prontidão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apelos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Cristo nos pobres.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atenta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nova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economia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ajudará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construir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prioridade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ser humano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lucro;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servir a vida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promover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brotará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denúncia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profética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escândalo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1% da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população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mundial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detém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mesma riqueza que os 99% restantes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recorda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papa Francisco,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desgastada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mal interpretada,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esporádicas de 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generosidade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Supõe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mentalidade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termos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prioridade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 de todos sobre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apropriação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parte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(EG 188).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guiada pela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permita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traduzir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amor de Deus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cultura globalizada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construindo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torres,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muros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dividem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desabam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tecendo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verdadeiramente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sólidos. É preciso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?” (FRANCISCO, 2020b).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projeto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fraternidade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universal, insistentemente proclamada pelo papa Francisco,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deve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assumido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por todas as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para que a vida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instrumentalizada em favor de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interesses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particulares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ocasionais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Manoel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José de Godoy, Matheus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Bernardes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Patriky</w:t>
      </w:r>
      <w:proofErr w:type="spellEnd"/>
      <w:r w:rsidRPr="00B35A8E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Batista</w:t>
      </w:r>
    </w:p>
    <w:p w:rsidR="00B35A8E" w:rsidRPr="00B35A8E" w:rsidRDefault="00B35A8E" w:rsidP="00B35A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2" w:history="1">
        <w:r w:rsidRPr="00B35A8E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suma, é preciso colocar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cultura do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encontro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vida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paróquias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Mas, antes,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inauguradas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naquele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normal que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será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normais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moldes da cultura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invisibilidade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 descarte.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revolucionária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mística do amor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próximo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irrenunciável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novas veredas.</w:t>
      </w:r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"http://www.ihu.unisinos.br/78-noticias/588732-a-fraternidade-universal"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fraternidade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universal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insistentemente proclamada pelo papa Francisco,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assumido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todas 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eclesiais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a vida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instrumentalizada em favor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particulares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ocasionais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permitir que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religiões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instrumento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polarizações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guerra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divisões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renovado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 plena para todos </w:t>
      </w:r>
      <w:proofErr w:type="gram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todas é a grande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brota para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pandemia: 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coronavírus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fez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experimentar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fragilidade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mediante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cuidado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mútuo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fraterna especialmente para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vulneráveis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poderemos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louvar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bondade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Deus Criador (LS 01).</w:t>
      </w:r>
    </w:p>
    <w:p w:rsidR="00B35A8E" w:rsidRPr="00B35A8E" w:rsidRDefault="00B35A8E" w:rsidP="00B35A8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Referências</w:t>
      </w:r>
      <w:proofErr w:type="spellEnd"/>
    </w:p>
    <w:p w:rsidR="00B35A8E" w:rsidRPr="00B35A8E" w:rsidRDefault="00B35A8E" w:rsidP="00B35A8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PAPA FRANCISCO. ¿Por qué tenéis miedo? Mensaje Urbi et orbi durante el Momento extraordinario de oración en tiempos de epidemia, 27 de marzo de 2020. Em PAPA _____. La vida después de la pandemia. Roma: Vaticana, 2020 (2020a).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  <w:t xml:space="preserve">_____.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Catequeses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“Curar o Mundo”: 5.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virtude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Disponível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em: http://www.vatican.va/content/francesco/pt/audiences/2020/documents/papa-francesco_20200902_udienza-generale.html.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em: 30 set. 2020 (2020b).</w:t>
      </w:r>
    </w:p>
    <w:p w:rsidR="00B35A8E" w:rsidRPr="00B35A8E" w:rsidRDefault="00B35A8E" w:rsidP="00B35A8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</w:pPr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Igreja e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: </w:t>
      </w:r>
      <w:proofErr w:type="spellStart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>provocações</w:t>
      </w:r>
      <w:proofErr w:type="spellEnd"/>
      <w:r w:rsidRPr="00B35A8E">
        <w:rPr>
          <w:rFonts w:ascii="Arial" w:eastAsia="Times New Roman" w:hAnsi="Arial" w:cs="Arial"/>
          <w:b/>
          <w:bCs/>
          <w:sz w:val="27"/>
          <w:szCs w:val="27"/>
          <w:lang w:val="es-UY" w:eastAsia="es-UY"/>
        </w:rPr>
        <w:t xml:space="preserve"> da pandemia</w:t>
      </w:r>
    </w:p>
    <w:p w:rsidR="00B35A8E" w:rsidRPr="00B35A8E" w:rsidRDefault="00B35A8E" w:rsidP="00B3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B35A8E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291ABEED" wp14:editId="0FB50204">
            <wp:extent cx="4051300" cy="2893303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013" cy="289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Igreja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provocações</w:t>
      </w:r>
      <w:proofErr w:type="spellEnd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da pandemia. Parte II - As dores do parto. </w:t>
      </w:r>
      <w:proofErr w:type="spellStart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Cadernos</w:t>
      </w:r>
      <w:proofErr w:type="spellEnd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Pública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Nº</w:t>
      </w:r>
      <w:proofErr w:type="spellEnd"/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148</w:t>
      </w:r>
    </w:p>
    <w:p w:rsidR="00B35A8E" w:rsidRPr="00B35A8E" w:rsidRDefault="00B35A8E" w:rsidP="00B35A8E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 </w:t>
      </w:r>
    </w:p>
    <w:p w:rsidR="00B35A8E" w:rsidRPr="00B35A8E" w:rsidRDefault="00B35A8E" w:rsidP="00B35A8E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Este artigo integra a segunda parte 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editorial intitulado “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Igreja e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evangelização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provocações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pandemia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organizado pelo Grupo de Pesquisa “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Pastoral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– do Programa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Pós-Graduação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Faculdade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Jesuíta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FAJE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publicado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148ª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edição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Cadernos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Pública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5A8E" w:rsidRPr="00B35A8E" w:rsidRDefault="00B35A8E" w:rsidP="00B35A8E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Acesse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"http://www.ihu.unisinos.br/images/stories/cadernos/teopublica/148cadernosteologiapublica.pdf" \t "_blank" </w:instrTex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aqui</w:t>
      </w:r>
      <w:proofErr w:type="spellEnd"/>
      <w:r w:rsidRPr="00B35A8E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 </w:t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Cadernos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Pública </w:t>
      </w:r>
      <w:proofErr w:type="spellStart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5A8E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íntegra.</w:t>
      </w:r>
    </w:p>
    <w:p w:rsidR="002E2F5B" w:rsidRDefault="00B35A8E">
      <w:hyperlink r:id="rId14" w:history="1">
        <w:r w:rsidRPr="002F674F">
          <w:rPr>
            <w:rStyle w:val="Hipervnculo"/>
          </w:rPr>
          <w:t>http://www.ihu.unisinos.br/78-noticias/605803-as-dioceses-e-as-paroquias-nao-sao-mais-as-mesmas-artigo-de-manoel-jose-de-godoy-matheus-bernardes-e-patriky-batista</w:t>
        </w:r>
      </w:hyperlink>
    </w:p>
    <w:p w:rsidR="00B35A8E" w:rsidRDefault="00B35A8E">
      <w:bookmarkStart w:id="0" w:name="_GoBack"/>
      <w:bookmarkEnd w:id="0"/>
    </w:p>
    <w:sectPr w:rsidR="00B3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E"/>
    <w:rsid w:val="002E2F5B"/>
    <w:rsid w:val="00B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73D"/>
  <w15:chartTrackingRefBased/>
  <w15:docId w15:val="{0751E165-7597-4451-B012-EF5F522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5A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28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6994390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69326451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8521837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643390095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5723053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433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A%20pastoral%20n%C3%A3o%20pode%20ser%20reduzida%20%C3%A0%20manuten%C3%A7%C3%A3o%20de%20templos%20e%20pr%C3%A9dios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159-noticias/entrevistas/569524-contra-a-servidao-ao-algoritmo-o-cooperativismo-de-plataforma-entrevista-especial-com-trebor-scholz" TargetMode="External"/><Relationship Id="rId12" Type="http://schemas.openxmlformats.org/officeDocument/2006/relationships/hyperlink" Target="https://twitter.com/intent/tweet?text=O%20projeto%20de%20uma%20fraternidade%20universal,%20insistentemente%20proclamada%20pelo%20papa%20Francisco,%20deve%20ser%20assumido%20por%20todas%20as%20estruturas%20eclesiais%20para%20que%20a%20vida%20n%C3%A3o%20seja%20instrumentalizada%20em%20favor%20de%20interesses%20particulares%20e%20ocasionais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itter.com/intent/tweet?text=A%20grande%20quest%C3%A3o%20%C3%A9%20que%20algumas%20estruturas%20diocesanas%20e%20paroquiais%20se%20tornaram%20est%C3%A1ticas%20e%20frias,%20com%20planejamentos%20e%20planos%20de%20pastoral%20at%C3%A9%20bem%20feitos,%20mas%20que%20n%C3%A3o%20chegam%20aos%20cora%C3%A7%C3%B5es%20dos%20fi%C3%A9is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11" Type="http://schemas.openxmlformats.org/officeDocument/2006/relationships/hyperlink" Target="https://twitter.com/intent/tweet?text=Por%20uma%20evangeliza%C3%A7%C3%A3o%20atenta%20a%20uma%20nova%20economia%20que%20ajudar%C3%A1%20a%20construir%20um%20mundo%20novo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5" Type="http://schemas.openxmlformats.org/officeDocument/2006/relationships/hyperlink" Target="https://twitter.com/intent/tweet?text=O%20clericalismo%20tem%20forte%20ingrediente%20mis%C3%B3gino%20e%20%C3%A9%20alimentador%20de%20preconceitos,%20sendo%20o%20mais%20forte%20a%20laicofobia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hu.unisinos.br/78-noticias/605449-fermento-para-uma-nova-cultura-artigo-de-moema-miranda-rosana-manzini-e-francys-silvestrini-adao" TargetMode="External"/><Relationship Id="rId4" Type="http://schemas.openxmlformats.org/officeDocument/2006/relationships/hyperlink" Target="http://www.ihu.unisinos.br/78-noticias/597359-tenho-esperanca-na-humanidade-vamos-sair-melhores-exorta-o-papa-francisco" TargetMode="External"/><Relationship Id="rId9" Type="http://schemas.openxmlformats.org/officeDocument/2006/relationships/hyperlink" Target="https://twitter.com/intent/tweet?text=Para%20fermentar%20uma%20nova%20cultura%20n%C3%A3o%20podemos%20omitir%20o%20di%C3%A1logo%20com%20a%20ci%C3%AAncia,%20nem%20nos%20privar%20do%20compromisso%20de%20iniciar%20processos%20de%20promo%C3%A7%C3%A3o%20de%20uma%20educa%C3%A7%C3%A3o%20integral%20e%20human%C3%ADstica%20-%20Manoel%20Jos%C3%A9%20de%20Godoy,%20Matheus%20Bernardes%20e%20Patriky%20Batista%20http%3A%2F%2Fwww.ihu.unisinos.br%2F605803-as-dioceses-e-as-paroquias-nao-sao-mais-as-mesmas-artigo-de-manoel-jose-de-godoy-matheus-bernardes-e-patriky-batista+via+%40_ihu" TargetMode="External"/><Relationship Id="rId14" Type="http://schemas.openxmlformats.org/officeDocument/2006/relationships/hyperlink" Target="http://www.ihu.unisinos.br/78-noticias/605803-as-dioceses-e-as-paroquias-nao-sao-mais-as-mesmas-artigo-de-manoel-jose-de-godoy-matheus-bernardes-e-patriky-batis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4625</Words>
  <Characters>25439</Characters>
  <Application>Microsoft Office Word</Application>
  <DocSecurity>0</DocSecurity>
  <Lines>211</Lines>
  <Paragraphs>60</Paragraphs>
  <ScaleCrop>false</ScaleCrop>
  <Company/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2021-01-06T19:39:00Z</dcterms:created>
  <dcterms:modified xsi:type="dcterms:W3CDTF">2021-01-06T19:41:00Z</dcterms:modified>
</cp:coreProperties>
</file>