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2888A" w14:textId="77777777" w:rsidR="00707FE7" w:rsidRPr="00707FE7" w:rsidRDefault="00707FE7" w:rsidP="00707FE7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707FE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Gente da </w:t>
      </w:r>
      <w:proofErr w:type="spellStart"/>
      <w:r w:rsidRPr="00707FE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rua</w:t>
      </w:r>
      <w:proofErr w:type="spellEnd"/>
      <w:r w:rsidRPr="00707FE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707FE7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14:paraId="0AFCF72B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preconceito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diferencia catador de material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reciclável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mendigo e bandido. 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vistos por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se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potencialmente bandidos. Ora, bandido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furta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rouba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mendigo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; catador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14:paraId="25A2E8B7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O Estado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obrigação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cuidar dos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três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: impedir que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cidadão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torne bandido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puni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-lo, reeducando-o para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oferecer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 rede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proteção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social;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reconhecer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assegurar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 catador.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 mostrar à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importância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compreender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universo 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obrigação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garantir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saúde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educação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(inclusive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profissional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documentação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proteção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física,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reconhecimento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dignidade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abrigo (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buscam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arte e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lazer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etc.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Enfim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cidadania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14:paraId="75C681E1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“Vale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pena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coisa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sobre 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posição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que os mendigos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ocupam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convive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eles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descobre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seres humanos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pode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ficar admirado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curiosa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eles. 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parecem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achar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existe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essencial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entre mendigos e ‘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trabalhadores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’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Acham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eles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constituem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raça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parte. 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trabalhadores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‘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’; os mendigos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‘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’,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parasitas,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inúteis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natureza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por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certo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vida do modo como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pedreiro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crítico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literário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excrescência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tolerada porque vivemos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época civilizada, mas ele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essencialmente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desprezível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.”</w:t>
      </w:r>
    </w:p>
    <w:p w14:paraId="5B7186ED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“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Contudo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observarmos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vemos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essencial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entre o modo de vida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 e o de inúmeras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respeitáveis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Os mendigos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-se. Mas,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o que é ‘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’?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operário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braçal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brandindo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picareta.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contador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fazendo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cálculos.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  fica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relento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em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ganhando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varizes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bronquite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crônica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etc.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ofício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como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bastante inútil,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– mas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ofícios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respeitáveis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inúteis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E, como tipo social, o mendigo se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sai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comparação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Ele é honesto, se comparado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vendedores da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medicamentos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patenteados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; de altos </w:t>
      </w: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princípios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se comparado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dono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jornal dominical;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amável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comparado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comerciante que vende a crédito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preços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extorsivos. Em resumo,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parasita, mas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parasita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razoavelmente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inofensivo. Raramente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extrai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 indigente, e paga por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sofrimento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incessante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poderia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justificá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-lo,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acordo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padrões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éticos.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creio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exista algo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 que o coloque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categoria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diferente da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dê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homens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modernos 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desprezá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-lo.”</w:t>
      </w:r>
    </w:p>
    <w:p w14:paraId="2D522B68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“Surge,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questão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 que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mendigos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desprezados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?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universalmente. Acredito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simples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conseguem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suficiente para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levar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 decente.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prática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ninguém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 importa se 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trabalho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útil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inútil,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produtivo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parasita; a única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exigência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lucrativo.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Afinal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em toda conversa moderna sobre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energia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eficiência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serviço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coisas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sentido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‘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dinheiro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-o legalmente 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’? 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dinheiro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transformou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grande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prova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virtude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Nessa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prova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mendigos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reprovados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e, por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desprezados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Se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possível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dez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libras por semana mendigando,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mendicância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 </w:t>
      </w: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transformaria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imediatamente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profissão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respeitável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Observado de forma realista,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mendigo é apenas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negócios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vida do jeito que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homens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negócios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vendeu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honra –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modernas. Ele apenas 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cometeu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erro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escolher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negócio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impossível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enriquecer.”</w:t>
      </w:r>
    </w:p>
    <w:p w14:paraId="4458118B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O texto aspeado, escrito em 1933, é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autoria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Eric Arthur Blair,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conhecido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famoso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pseudônimo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George Orwell (autor de “1984” e “A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revolução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bichos”), e figura no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dele, “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pior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Paris e Londres” (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Companhia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Letras, 2006, pp. 200-201).</w:t>
      </w:r>
    </w:p>
    <w:p w14:paraId="01A5D665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sabe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vocação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poética,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tenha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escrito este poema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anônimo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gravado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muro: “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falar 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/ nunca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pijama, /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se nunca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cama? / 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nunca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brinquedo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/ apenas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medo. / Mas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tanto frio, tanta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umidade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/ que invento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cobertor de sol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poente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/ 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 pijama de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sonho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cama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quente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/ É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bom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brincar,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sonhar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ser  gente.”</w:t>
      </w:r>
    </w:p>
    <w:p w14:paraId="521E8C73" w14:textId="77777777" w:rsidR="00707FE7" w:rsidRPr="00707FE7" w:rsidRDefault="00707FE7" w:rsidP="00707FE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707FE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707FE7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escritor, autor de “Por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educação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crítica </w:t>
      </w:r>
      <w:proofErr w:type="gram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participativa” (Rocco), entre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707FE7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14:paraId="78FEF49D" w14:textId="0302335F" w:rsidR="002E2F5B" w:rsidRDefault="00707FE7">
      <w:hyperlink r:id="rId4" w:history="1">
        <w:r w:rsidRPr="00736362">
          <w:rPr>
            <w:rStyle w:val="Hipervnculo"/>
          </w:rPr>
          <w:t>https://ceseep.org.br/gente-da-rua-frei-betto/</w:t>
        </w:r>
      </w:hyperlink>
    </w:p>
    <w:p w14:paraId="02190F7A" w14:textId="77777777" w:rsidR="00707FE7" w:rsidRDefault="00707FE7"/>
    <w:sectPr w:rsidR="00707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7"/>
    <w:rsid w:val="002E2F5B"/>
    <w:rsid w:val="0070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ADD8"/>
  <w15:chartTrackingRefBased/>
  <w15:docId w15:val="{5F3203FF-7C07-4CC3-A36E-300E49F1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7F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gente-da-rua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2021-02-08T14:40:00Z</dcterms:created>
  <dcterms:modified xsi:type="dcterms:W3CDTF">2021-02-08T14:40:00Z</dcterms:modified>
</cp:coreProperties>
</file>