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7FBA" w14:textId="77777777" w:rsidR="003F6A83" w:rsidRPr="003F6A83" w:rsidRDefault="003F6A83" w:rsidP="003F6A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</w:pP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Emergência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da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fome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intensifica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luta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pelo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Auxílio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Emergencial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e evidencia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necessidade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da renda mínima. Entrevista especial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com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José </w:t>
      </w:r>
      <w:proofErr w:type="spellStart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>Antônio</w:t>
      </w:r>
      <w:proofErr w:type="spellEnd"/>
      <w:r w:rsidRPr="003F6A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3"/>
          <w:szCs w:val="63"/>
          <w:lang w:val="es-UY" w:eastAsia="es-UY"/>
        </w:rPr>
        <w:t xml:space="preserve"> Moroni</w:t>
      </w:r>
    </w:p>
    <w:p w14:paraId="108BD226" w14:textId="77777777" w:rsidR="003F6A83" w:rsidRPr="003F6A83" w:rsidRDefault="003F6A83" w:rsidP="003F6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</w:pPr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Para o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ativista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, o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Auxílio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é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uma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ajuda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imediata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que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não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apaga o debate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maior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sobre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uma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renda mínima </w:t>
      </w:r>
      <w:proofErr w:type="gram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e</w:t>
      </w:r>
      <w:proofErr w:type="gram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digna para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afastar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as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famílias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da extrema </w:t>
      </w:r>
      <w:proofErr w:type="spellStart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>insegurança</w:t>
      </w:r>
      <w:proofErr w:type="spellEnd"/>
      <w:r w:rsidRPr="003F6A83">
        <w:rPr>
          <w:rFonts w:ascii="Arial" w:eastAsia="Times New Roman" w:hAnsi="Arial" w:cs="Arial"/>
          <w:color w:val="000000" w:themeColor="text1"/>
          <w:sz w:val="33"/>
          <w:szCs w:val="33"/>
          <w:lang w:val="es-UY" w:eastAsia="es-UY"/>
        </w:rPr>
        <w:t xml:space="preserve"> alimentar</w:t>
      </w:r>
    </w:p>
    <w:p w14:paraId="41A43C82" w14:textId="77777777" w:rsidR="003F6A83" w:rsidRDefault="003F6A83" w:rsidP="003F6A83">
      <w:pPr>
        <w:spacing w:after="0" w:line="240" w:lineRule="auto"/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</w:pPr>
    </w:p>
    <w:p w14:paraId="50942437" w14:textId="1B26FC28" w:rsidR="003F6A83" w:rsidRPr="003F6A83" w:rsidRDefault="003F6A83" w:rsidP="003F6A83">
      <w:pPr>
        <w:spacing w:after="0" w:line="240" w:lineRule="auto"/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</w:pPr>
      <w:r w:rsidRPr="003F6A83"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  <w:t>Por: </w:t>
      </w:r>
      <w:r w:rsidRPr="003F6A83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val="es-UY" w:eastAsia="es-UY"/>
        </w:rPr>
        <w:t>João Vitor Santos | </w:t>
      </w:r>
      <w:r w:rsidRPr="003F6A83"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  <w:t xml:space="preserve">18 </w:t>
      </w:r>
      <w:proofErr w:type="spellStart"/>
      <w:r w:rsidRPr="003F6A83"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  <w:t>Fevereiro</w:t>
      </w:r>
      <w:proofErr w:type="spellEnd"/>
      <w:r w:rsidRPr="003F6A83"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  <w:t xml:space="preserve"> 2021</w:t>
      </w:r>
    </w:p>
    <w:p w14:paraId="5E3E2513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mercado comprando comida”.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singela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frase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recebida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mensagem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WhatsApp revela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alegria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hyperlink r:id="rId4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José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Antônio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Moroni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guerra que ele e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travado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carentes durante a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iminente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revela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comemora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simples como ir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supermercado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garantir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refeições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alcançado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tragédia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saber que parte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achamos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agenda nacional,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observa,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 concedida por e-mail à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IHU On-Line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hyperlink r:id="rId5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Moroni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Socioeconômicos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-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Inesc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entidades,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encabeçando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"http://www.ihu.unisinos.br/78-noticias/600066-campanha-renda-basica-que-queremos-lanca-sua-fase-2-pela-prorrogacao-do-auxilio-de-r-600"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Renda Básica que Queremos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[1].</w:t>
      </w:r>
    </w:p>
    <w:p w14:paraId="1121349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1EBC499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Ele explica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circula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concretude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país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quadro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causado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 </w:t>
      </w:r>
      <w:hyperlink r:id="rId6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pandemia de Covid-19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econômica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Sim,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grupos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lucram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crises. Basta ver o </w:t>
      </w:r>
      <w:hyperlink r:id="rId7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lucro dos bancos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Mas ele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imposta pela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foco sobre o debate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assegurar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teve de mudar. “Inicialmente pensamos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base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 renda mínima permanente. Abandonamos logo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vimos que este debate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longe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poder ficar em casa se cuidando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alimentando”,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recorda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CE1F47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6BDBEF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>Foi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aí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grupo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focar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"http://www.ihu.unisinos.br/78-noticias/604372-o-auxilio-emergencial-deve-continuar"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assegurando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estendido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incide nos debates sobre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"http://www.ihu.unisinos.br/605712-o-fim-do-auxilio-emergencial-e-o-risco-da-desigualdade-em-v-entrevista-especial-com-pedro-fernando-nery"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iniciativa popular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 </w:t>
      </w:r>
      <w:hyperlink r:id="rId8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mínima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detalha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ele, toda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debate sobre renda mínima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configura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‘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embrião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’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que é o </w:t>
      </w:r>
      <w:hyperlink r:id="rId9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servir como base,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política de 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sugere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BE138D6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A4E61D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da entrevista, </w:t>
      </w:r>
      <w:hyperlink r:id="rId10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Moroni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reflete sobre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 e o desmonte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políticas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 E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torce o nariz para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alegando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estender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corrigir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hyperlink r:id="rId11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instituir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mínima pode quebrar o Estado, ele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“o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R$ 390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68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indiretamente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100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retornou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real. Para o sistema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disponibilizou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R$ 1,216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‘palma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’”.</w:t>
      </w:r>
    </w:p>
    <w:p w14:paraId="6C0CC8A0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1799990" w14:textId="77777777" w:rsidR="003F6A83" w:rsidRPr="003F6A83" w:rsidRDefault="003F6A83" w:rsidP="003F6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3F6A8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3158729D" wp14:editId="30B477CB">
            <wp:extent cx="5670550" cy="3780367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18" cy="37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F177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Moroni (Foto: </w:t>
      </w:r>
      <w:proofErr w:type="spellStart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  <w:r w:rsidRPr="003F6A83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)</w:t>
      </w:r>
    </w:p>
    <w:p w14:paraId="65B05F5C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filósofo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pós-graduação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Brasil, Fundamentos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Especial e Métodos e Técnicas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Elaboração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Membro do colegiado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Socioeconômicos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Inesc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35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governamentais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populares, especialmente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 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democrática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popular.</w:t>
      </w:r>
    </w:p>
    <w:p w14:paraId="3A473373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88D9340" w14:textId="77777777" w:rsidR="003F6A83" w:rsidRPr="003F6A83" w:rsidRDefault="003F6A83" w:rsidP="003F6A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Confira</w:t>
      </w:r>
      <w:proofErr w:type="spellEnd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a entrevista.</w:t>
      </w:r>
    </w:p>
    <w:p w14:paraId="4A56DB3C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25769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Em que consiste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Básica que Queremos?</w:t>
      </w:r>
    </w:p>
    <w:p w14:paraId="1543915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reúne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250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formatos organizativos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agendas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diferentes.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mal-estar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hyperlink r:id="rId13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pandemia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contraponto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discurso sobre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políticas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voltadas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"http://www.ihu.unisinos.br/78-noticias/606564-a-desigualdade-nao-e-inevitavel-e-uma-escolha-politica-entrevista-com-gabriela-bucher"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populações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vulneráveis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"http://www.ihu.unisinos.br/606754-governo-tem-espaco-para-estender-auxilio-emergencial-e-investir-entrevista-com-andre-lara-resende"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“precisa salvar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reforçando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hyperlink r:id="rId14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falsa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dicotomia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entre o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econômico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 o social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cuidar,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salvar,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contaminar, contaminar 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afinal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 mundo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terminado.</w:t>
      </w:r>
    </w:p>
    <w:p w14:paraId="5C2B949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desconforto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juntou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avaliação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 de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proteção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social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programas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enfrentar o dilema da renda para que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pudessem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ficar em casa e comer.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 que surge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Inicialmente pensamos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base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permanente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Abandonamos logo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vimos que este debate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longe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poder ficar em casa se cuidando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alimentando.</w:t>
      </w:r>
    </w:p>
    <w:p w14:paraId="0EEF5B7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incide nos debates sobre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"http://www.ihu.unisinos.br/78-noticias/602322-de-olho-na-reeleicao-bolsonaro-mira-em-programas-que-marcaram-os-governos-do-pt"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iniciativa popular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política de 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nasce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conjuntura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F951C8F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  <w:t> </w:t>
      </w:r>
    </w:p>
    <w:p w14:paraId="66754721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mobiliza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incide nos debates sobre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estratégia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longo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prazo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construção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projeto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iniciativa popular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criação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política de renda mínima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3C36AB22" w14:textId="1B5BF6F9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185011A5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2C195B2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Como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senhor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destaca,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nessa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atual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fase da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foco é para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prorrogação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Mas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próprio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disse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estendê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-lo,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embora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num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valor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menor.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compreende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ser prorrogado?</w:t>
      </w:r>
    </w:p>
    <w:p w14:paraId="6798B4B0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Estamos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psicopatas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"http://www.ihu.unisinos.br/78-noticias/597522-renda-cidada-para-uma-quarentena-segura"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e, em caso de o ter, conceder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extremamente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baixo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extremamente complexo.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nunca quis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"http://www.ihu.unisinos.br/78-noticias/602806-alta-dos-alimentos-deve-agravar-inseguranca-alimentar-no-brasil"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genocida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fetiche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forma como ele faz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pilares.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almoço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café da tarde.</w:t>
      </w:r>
    </w:p>
    <w:p w14:paraId="6858BAC6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consenso no Parlamento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como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 político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 máximo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quatro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meses, no valor de até R$ 250,00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como,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rebaixar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corte para entrar no programa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mínimos de </w:t>
      </w:r>
      <w:hyperlink r:id="rId15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familiar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salário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mínimo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gente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F021AE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prorrogação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valor de R$ 600,00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hyperlink r:id="rId16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pandemia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vacina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universal,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 importante.</w:t>
      </w:r>
    </w:p>
    <w:p w14:paraId="7ECF6CCE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68E06F4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pela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prorrogação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no valor de R$ 600,00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mensais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até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fim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pandemia.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associamos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à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vacina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universal,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dado importante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41ADC30A" w14:textId="1A03B5A3" w:rsidR="003F6A83" w:rsidRPr="003F6A83" w:rsidRDefault="003F6A83" w:rsidP="003F6A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42202EF9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7B6E637" w14:textId="77777777" w:rsidR="003F6A83" w:rsidRPr="003F6A83" w:rsidRDefault="003F6A83" w:rsidP="003F6A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Nova </w:t>
      </w:r>
      <w:proofErr w:type="spellStart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implementação</w:t>
      </w:r>
      <w:proofErr w:type="spellEnd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Auxílio</w:t>
      </w:r>
      <w:proofErr w:type="spellEnd"/>
    </w:p>
    <w:p w14:paraId="6EAAAB10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 importante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implementação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Como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dificultar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como,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cadastrando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aplicativo,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exigindo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CPF regular,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sabe que parte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expressiva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potenciais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"http://www.ihu.unisinos.br/167-noticias/observasinos/598519-121-mil-pessoas-sem-acesso-a-internet-para-ter-auxilio-emergencial-e-educacao-em-porto-alegre"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à internet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celular capaz de comportar aplicativos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documentos.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prorrogação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defendemos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regulamentação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implementação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hyperlink r:id="rId17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Sistema Único de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Assistência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Social -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Suas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bancos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comunitários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etc.</w:t>
      </w:r>
    </w:p>
    <w:p w14:paraId="247171E9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Ano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executar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R$ 29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"http://www.ihu.unisinos.br/167-noticias/observasinos/605749-auxilio-emergencial-evitou-que-337-mil-entrassem-na-pobreza-na-regiao-metropolitana-de-porto-alegre"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recurso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colocou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resto a pagar,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este recurso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ido para remunerar os detentores dos títulos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dívida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Este valor corresponde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pagamento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 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Programa Bolsa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atende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14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F2BBD1B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0276E5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Além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prorrogação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defendemos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nova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regulamentação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implementação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envolva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o Sistema Único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Social -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bancos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comunitários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etc.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459810F9" w14:textId="74A28636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</w:p>
    <w:p w14:paraId="75CFFBDE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6FE649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Muitas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vivem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realidade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quanto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quadro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 acentuar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fim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2864DE54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tragédia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saber que parte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"http://www.ihu.unisinos.br/78-noticias/606565-a-volta-da-fome-a-carencia-alimentar-na-pandemia"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achamos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agenda nacional,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causa da </w:t>
      </w:r>
      <w:hyperlink r:id="rId18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pandemia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Sim,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grupos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lucram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crises. Basta ver o lucro dos bancos.</w:t>
      </w:r>
    </w:p>
    <w:p w14:paraId="40B1F337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pesquisa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Datafolha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agosto de 2020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panorama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"http://www.ihu.unisinos.br/78-noticias/606170-sem-auxilio-emergencial-brasil-deve-ter-mais-de-20-milhoes-em-pobreza-extrema"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principal destino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compra de alimentos (53%), 25% para pagar contas, 16% para pagar despesas da casa, 1% para comprar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remédios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61%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percentual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gasto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alimentação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familiar de até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salários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mínimos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5CC4F63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recorte racial. Entre os que se auto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declararam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negros (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pardos), 49%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"http://www.ihu.unisinos.br/78-noticias/606756-auxilio-emergencial-a-grande-questao-em-disputa"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como única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renda, contra 38% entre 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"http://www.ihu.unisinos.br/78-noticias/600156-vulnerabilidade-da-populacao-negra-a-violencia-policial-e-a-pandemia-revela-racismo-estrutural-no-brasil"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negra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fica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desempregada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é a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informalidade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A0E4A9B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150D447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maior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tragédia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saber que parte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dele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passa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fome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achamos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estava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agenda nacional,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voltou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força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74EC9BEE" w14:textId="5FE523FD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</w:p>
    <w:p w14:paraId="3426E822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A41EC4" w14:textId="77777777" w:rsidR="003F6A83" w:rsidRPr="003F6A83" w:rsidRDefault="003F6A83" w:rsidP="003F6A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“</w:t>
      </w:r>
      <w:proofErr w:type="spellStart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Estou</w:t>
      </w:r>
      <w:proofErr w:type="spellEnd"/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no mercado comprando comida”</w:t>
      </w:r>
    </w:p>
    <w:p w14:paraId="5A3D2ACE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alternado momentos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alegrias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tristezas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"http://www.ihu.unisinos.br/606580-campanha-pede-manutencao-do-auxilio-emergencial-ate-o-fim-da-pandemia"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Renda Básica que Queremos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Lógico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conquista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 parlamento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"http://www.ihu.unisinos.br/78-noticias/602602-os-r-600-e-a-brecha-em-meio-ao-pesadelo"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no valor de R$ 600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mês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começamos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fotos pelo WhatsApp 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comprando comida nos mercados,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emocionante. Lembro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áudio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mandado de madrugada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Goiânia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Áudios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emocionadas,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mercado comprando comida”,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ritmo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enlouquecido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diminuir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danos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regulamentação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negacionista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conquistado.</w:t>
      </w:r>
    </w:p>
    <w:p w14:paraId="77A0065C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 tristeza pelas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receberam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Tristeza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diminui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valor para </w:t>
      </w:r>
      <w:hyperlink r:id="rId19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R$ 300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mensais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o deputado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Rodrigo Maia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[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presidente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Câmara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Deputados, do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Democratas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]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colocou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Medida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Provisória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sabia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valor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retornaria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R$ 600.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consiste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mesmo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patamar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inicial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 da Covid-19.</w:t>
      </w:r>
    </w:p>
    <w:p w14:paraId="5120FC58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97D9ECC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começamos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receber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fotos pelo WhatsApp das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comprando comida nos mercados,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emocionante. Mas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profunda tristeza pelas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deviam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receber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receberam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6341E85A" w14:textId="43FF6BF2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727BA26E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C1338B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Embora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tenha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servido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tábua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salvação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muitas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concessão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caráter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enfraquece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movimentos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para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consolidação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Básica permanente?</w:t>
      </w:r>
    </w:p>
    <w:p w14:paraId="5873ADE7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Entendemos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enfraquece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principalmente que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embrião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de renda mínima que é o </w:t>
      </w:r>
      <w:hyperlink r:id="rId20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servir como base,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política de renda mínima.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completos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cadastros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mundo que é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CadÚnico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administração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"http://www.ihu.unisinos.br/78-noticias/597877-pandemia-global-governo-e-desigualdade-no-brasil-um-olhar-das-ciencias-sociais"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destruir,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).</w:t>
      </w:r>
    </w:p>
    <w:p w14:paraId="68E3668F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6E26E83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Nós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“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embrião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” de renda mínima que é o Bolsa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programa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deve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servir como base,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assim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como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para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política de renda mínima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67B68D60" w14:textId="6EAB7DA1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615A8A64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97C1B7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 para transformar o </w:t>
      </w:r>
      <w:hyperlink r:id="rId21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percorrer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precisam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enfrentados,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deles é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fila.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programa de 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ter </w:t>
      </w:r>
      <w:hyperlink r:id="rId22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fila de espera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preenche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mecanismos de reajustes.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média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de R$ 196,00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9363E6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103F824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No caso brasileiro,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apropriado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reduzir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as desigualdades seria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Básica Universal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Mínima?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compreender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dois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conceitos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seria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viável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num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médio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prazo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dada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atual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conjuntura?</w:t>
      </w:r>
    </w:p>
    <w:p w14:paraId="60533BF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debate.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"http://www.ihu.unisinos.br/78-noticias/600066-campanha-renda-basica-que-queremos-lanca-sua-fase-2-pela-prorrogacao-do-auxilio-de-r-600"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definição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hyperlink r:id="rId23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Básica Universal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transferência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recursos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igual montante, periódica, individual e predeterminada a toda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independente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condicionalidades.</w:t>
      </w:r>
    </w:p>
    <w:p w14:paraId="742F7599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hyperlink r:id="rId24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Mínima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universal. É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transferência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monetário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ser igual para todas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beneficiadas), que garanta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atendida atinja determinado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patamar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renda.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condicionalidades (se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tal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recortes/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renda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durar a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vulnerabilidade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renda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BBF61BF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Pessoalmente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ponto de vista filosófico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ético,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tenderia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defender a </w:t>
      </w:r>
      <w:hyperlink r:id="rId25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Básica Universal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como defender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universal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que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reprodução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desigualdades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Onde justamente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desigualdade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centralidade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racial,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gênero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territorial? Fala no mecanismo que aja sobre os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cima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pirâmide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devolvam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valor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recebido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momento do imposto de renda. Mas,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paga imposto de renda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justamente 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trabalhadores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nível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salarial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Rico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paga, ele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sonega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Entenderia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hyperlink r:id="rId26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Básica Universal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-capitalista onde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privados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passariam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públicos.</w:t>
      </w:r>
    </w:p>
    <w:p w14:paraId="5815BD4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conjuntura,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termos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27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Mínima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robusta que se aproxime do valor 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mínimo do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Departamento Intersindical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Estatística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Socioeconômicos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Dieese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50AD496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  <w:t> </w:t>
      </w:r>
    </w:p>
    <w:p w14:paraId="1B8A5423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Do ponto de vista filosófico </w:t>
      </w:r>
      <w:proofErr w:type="gram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ético,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tenderia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defender a Renda Básica Universal. Mas como defender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universal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renda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num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país que se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estrutura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produção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reprodução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desigualdades?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24CA8DCC" w14:textId="3174F36E" w:rsidR="003F6A83" w:rsidRPr="003F6A83" w:rsidRDefault="003F6A83" w:rsidP="003F6A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09AE7EBD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640D1E9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No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Palácio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 Planalto,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discurso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corrente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estender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 de R$ 600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quebraria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Estado. Mas o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por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trás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discurso?</w:t>
      </w:r>
    </w:p>
    <w:p w14:paraId="7FC1826D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este discurso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Planalto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está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academia,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imprensa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Congresso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Judiciário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etc.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parlamentares de partidos que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reproduzir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dói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Vejamos os números.</w:t>
      </w:r>
    </w:p>
    <w:p w14:paraId="3DB584F0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"http://www.ihu.unisinos.br/78-noticias/606559-sem-dinheiro-para-auxilio-emergencial-bolsonaro-renunciou-a-r-348-bilhoes-em-impostos-a-empresarios"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todas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fases, R$ 390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68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indiretamente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100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retornou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"http://www.ihu.unisinos.br/159-noticias/entrevistas/600436-a-renda-universal-um-salario-de-novo-tipo-deve-ser-a-matriz-para-o-futuro-da-organizacao-da-sociedade-entrevista-especial-com-bruno-cava"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economia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real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Pobre compra comida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títulos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dívida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7B9B00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o sistema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disponibilizou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R$ 1,216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trilhões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“palma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Este recurso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alimentando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ciranda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9A3936E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quebra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Estado?</w:t>
      </w:r>
    </w:p>
    <w:p w14:paraId="035B9923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C0E93B4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gastou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 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em todas 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fases, R$ 390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bilhões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diretamente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68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milhões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Para o sistema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financeiro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disponibilizou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R$ 1,216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trilhões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Beneficiou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quantas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?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cabem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“palma da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”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06453EE1" w14:textId="554BEB9C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2989F32A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C42594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assegurar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financiamento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básica permanente?</w:t>
      </w:r>
    </w:p>
    <w:p w14:paraId="08684D3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– Independente da </w:t>
      </w:r>
      <w:hyperlink r:id="rId28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mínima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debate urgente que precisamos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financia o Estado.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paga proporcionalmente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pobres,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políticas públicas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baixa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faz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29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sistema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tributário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regressivo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precisa pagar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progressividade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mudando esta </w:t>
      </w:r>
      <w:hyperlink r:id="rId30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lógica da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tributação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recursos para as políticas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4670EF3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0B53D32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parar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achar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Estado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é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igual a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familiar.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problema o Estado se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endividar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para prestar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serviços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à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11D797A4" w14:textId="16E11E16" w:rsid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14:paraId="5DC87FEB" w14:textId="5B597482" w:rsidR="003F6A83" w:rsidRPr="003F6A83" w:rsidRDefault="003F6A83" w:rsidP="003F6A83">
      <w:pPr>
        <w:spacing w:line="240" w:lineRule="auto"/>
        <w:jc w:val="center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"http://www.ihu.unisinos.br/78-noticias/594684-governo-bolsonaro-vai-taxar-as-grandes-fortunas-nao-as-grandes-pobrezas"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taxar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as grandes fortunas e </w:t>
      </w:r>
      <w:proofErr w:type="spellStart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heranças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discutir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taxação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grandes lucros, mudar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tabela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Imposto de Renda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etc.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taxação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em cima do consumo,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ser sobre a riqueza, a renda,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FE036E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parar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igual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familiar.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 </w:t>
      </w:r>
      <w:hyperlink r:id="rId31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o Estado se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endividar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prestar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o Estado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endividar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pagar altos juros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dos títulos da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dívida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chamados países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desenvolvidos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dívida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PIB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é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7A748A3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defenda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reajuste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ampliação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 programa Bolsa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poderia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suprir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necessidades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programa de renda básica.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senhor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concorda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379A4D7D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Conforme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exposto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anteriormente,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apenas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reajuste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ampliação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32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concepção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hyperlink r:id="rId33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ninguém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ir à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Justiça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reclamar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número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depende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orçamento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“filas”.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de reajuste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ampliação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59B77B2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condicionalidades,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transformam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agenda de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(ter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vacina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-natal)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34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perder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técnico e político acumulado pelo </w:t>
      </w:r>
      <w:hyperlink r:id="rId35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do tempo.</w:t>
      </w:r>
    </w:p>
    <w:p w14:paraId="284BC5D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DF1FC0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das críticas do programa Bolsa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Família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é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financeirização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muitas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vezes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empurrando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famílias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baixa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para o sistema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bancário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Agora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busca pelo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viu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multidão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chamou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invisíveis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Em que medida a lógica da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financeirização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invisibilizou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475EB5D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Horrível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em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invisíveis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Invisíveis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eles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andam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janelas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estatísticas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771F6F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"http://www.ihu.unisinos.br/159-noticias/entrevistas/602916-a-financeirizacao-impede-diminuicao-das-desigualdades-sociais-e-o-crescimento-economico-sustentado-entrevista-especial-com-ilan-lapyda"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financeirização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dos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programas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transferência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problema, sim.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falta de ética do sistema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sistema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usa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programas para “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clientes”,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endividar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média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branca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no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sistema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bancário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Porque avaliamos ser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seguro,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cômodo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etc.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 que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crítica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pobres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problema é que o sistema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bancário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utiliza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captar clientes,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endividar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que se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 incentivos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36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cooperativas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financeiras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autogestionadas 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programa.</w:t>
      </w:r>
    </w:p>
    <w:p w14:paraId="0A1BDB4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9B867E4" w14:textId="77777777" w:rsidR="003F6A83" w:rsidRPr="003F6A83" w:rsidRDefault="003F6A83" w:rsidP="003F6A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Horrível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falar em “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invisíveis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”.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Invisíveis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para eles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andam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ruas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nossas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cidades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que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olham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pelas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janelas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José </w:t>
      </w:r>
      <w:proofErr w:type="spellStart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Moroni</w:t>
      </w:r>
    </w:p>
    <w:p w14:paraId="62769701" w14:textId="7F0868B4" w:rsidR="003F6A83" w:rsidRPr="003F6A83" w:rsidRDefault="003F6A83" w:rsidP="003F6A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37" w:history="1">
        <w:r w:rsidRPr="003F6A83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t</w:t>
        </w:r>
      </w:hyperlink>
    </w:p>
    <w:p w14:paraId="7A8BE0E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33FA1B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conceber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renda básica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fácil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precisa,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empurrar as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para o sistema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bancário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criar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barreiras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tecnológicas para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acessos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como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no caso 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Emergencial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1B2C7C8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Acho que em parte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respondi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este modelo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implantação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"http://www.ihu.unisinos.br/159-noticias/entrevistas/605712-o-fim-do-auxilio-emergencial-e-o-risco-da-desigualdade-em-v-entrevista-especial-com-pedro-fernando-nery"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inviabilizá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pode.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gama de formatos organizativos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construídos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ficar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38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sistema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bancário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administradoras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cartões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aproveitar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parcerias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 cuidado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criar falsas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4B2B2C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680F3FA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Numa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estrutura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similar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Sistema Único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Saúde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- SUS, o Sistema Único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Social -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foi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concebido para universalizar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assegurar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programas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sociais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Mas o que vemos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prática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desmonte 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seus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centros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atuam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ponta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. Como reverter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quadro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? Em que medida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poderia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contribuir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gestão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programas de renda básica?</w:t>
      </w:r>
    </w:p>
    <w:p w14:paraId="3C1C9171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sistema de política pública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atacado desde o golpe,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desmonte total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Lembrando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políticas que tradicionalmente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clientelismo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corrupção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etc.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justamente para enfrentar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Mas,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"http://www.ihu.unisinos.br/159-noticias/entrevistas/572155-a-reducao-orcamentaria-e-uma-nova-proposta-de-assistencia-social-residual-e-nao-estatal-entrevista-especial-com-jucimeri-isolda-silveira"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percorrido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consolidar.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fatores que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atacado.</w:t>
      </w:r>
    </w:p>
    <w:p w14:paraId="2F046ACD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Eu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polêmico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principalmente no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militância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"http://www.ihu.unisinos.br/espiritualidade/comentario-do-evangelho/78-noticias/571568-na-festa-da-independencia-o-anuncio-do-fim-do-suas"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funcionar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operacionaliza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políticas.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tira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especificidade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objeto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assistência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corte, coloca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"http://www.ihu.unisinos.br/entrevistas/45273-suas-reafirma-a-ruptura-com-as-praticas-assistencialistas-entrevista-especial-com-leila-pizzato-"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equipamentos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públicos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fornecem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determinados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sim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dialógico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78210A4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metodologia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"http://www.ihu.unisinos.br/78-noticias/579767-meio-seculo-de-educacao-popular-artigo-de-raul-zibechi"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educação</w:t>
      </w:r>
      <w:proofErr w:type="spellEnd"/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popular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toda política pública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princípio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beneficiários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/as.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aspectos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No </w:t>
      </w:r>
      <w:hyperlink r:id="rId39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Bolsa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Família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Acredito que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capaz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novas institucionalidades.</w:t>
      </w:r>
    </w:p>
    <w:p w14:paraId="33C53913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02B4B0C" w14:textId="77777777" w:rsidR="003F6A83" w:rsidRPr="003F6A83" w:rsidRDefault="003F6A83" w:rsidP="003F6A83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O debate sobre renda básica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nesses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tempos de pandemia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chegou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grandes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redutos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neoliberais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como o Fórum de Davos. O que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indica?</w:t>
      </w:r>
    </w:p>
    <w:p w14:paraId="07EAC73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Cuidado. Cuidado. Cuidado. Precisamos ter todo cuidado do mundo,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estamos falando da mesma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Eles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destruir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sistemas públicos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políticas públicas. Eles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40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mercantilizar 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proteção</w:t>
        </w:r>
        <w:proofErr w:type="spellEnd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social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Destroem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sistema público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falácia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liberdade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escolha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estudar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onde se tratar, etc.) e para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para comprar no mercado algo que 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Eu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parte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barbárie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hyperlink r:id="rId41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neoliberalismo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4E9DAEE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A80B4A7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Quais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desafios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para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levar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debate sobre renda básica para 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campanha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2022?</w:t>
      </w:r>
    </w:p>
    <w:p w14:paraId="269F3C7E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Acho que vamos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tema. O máximo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acontecer é ficar prorrogando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"http://www.ihu.unisinos.br/78-noticias/601965-auxilio-emergencial-nao-e-suficiente-para-ganhar-eleicao-entrevista-com-cesar-zucco"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Auxílio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cada vez menos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menor valor para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benefício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nada.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42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fetiche pela </w:t>
        </w:r>
        <w:proofErr w:type="spellStart"/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morte</w:t>
        </w:r>
        <w:proofErr w:type="spellEnd"/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Avalio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vamos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conjuntura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delicada em 2022 que o debate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democrática do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construindo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iniciativa popular da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renda mínima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5E06EBC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  <w:t> </w:t>
      </w:r>
    </w:p>
    <w:p w14:paraId="4E050EA5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On-Line – Que Brasil 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senhor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vê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daqui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 cinco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anos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, caso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esses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debates sobre renda básica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tenham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 tornado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efetivas</w:t>
      </w:r>
      <w:proofErr w:type="spellEnd"/>
      <w:r w:rsidRPr="003F6A83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políticas públicas?</w:t>
      </w:r>
    </w:p>
    <w:p w14:paraId="330F9C72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Antônio</w:t>
      </w:r>
      <w:proofErr w:type="spellEnd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Moroni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Acho que antes da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renda básica precisamos derrotar 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"http://www.ihu.unisinos.br/78-noticias/591277-o-bolsonarismo-e-o-neofascismo-adaptado-ao-brasil-do-seculo-21"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 representa.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43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básica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nada.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vida.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saída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do 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"http://www.ihu.unisinos.br/78-noticias/597395-pandemia-no-brasil-sob-o-desgoverno-bolsonaro" \t "_blank" </w:instrTex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3F6A83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das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apoiaram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derrotar a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8F18658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percurso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percurso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consigamos provocar rupturas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conciliações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Romper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escravocrata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colonialista, patriarcal,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lesbo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homo-transfóbica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classista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etc. Mas acho que vamos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demorar, mas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vamos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amar,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dançar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gritar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públicas </w:t>
      </w:r>
      <w:proofErr w:type="gram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lugares de diálogos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Chegaremos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4BBE25D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6E8087E" w14:textId="77777777" w:rsidR="003F6A83" w:rsidRPr="003F6A83" w:rsidRDefault="003F6A83" w:rsidP="003F6A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3F6A83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Notas</w:t>
      </w:r>
    </w:p>
    <w:p w14:paraId="5E9A832B" w14:textId="77777777" w:rsidR="003F6A83" w:rsidRPr="003F6A83" w:rsidRDefault="003F6A83" w:rsidP="003F6A83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1. A iniciativa </w:t>
      </w:r>
      <w:hyperlink r:id="rId44" w:tgtFrame="_blank" w:history="1">
        <w:r w:rsidRPr="003F6A83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Renda Básica que Queremos</w:t>
        </w:r>
      </w:hyperlink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visa construir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permanente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de R$ 600. Organizada por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coalizão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defendem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distribuição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renda urgente e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todo o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brasileiro. A </w:t>
      </w:r>
      <w:r w:rsidRPr="003F6A83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Renda Básica Permanente</w:t>
      </w:r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será concedido a adultos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maiores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18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considerados pobres,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renda familiar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mensal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capita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até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salário</w:t>
      </w:r>
      <w:proofErr w:type="spellEnd"/>
      <w:r w:rsidRPr="003F6A83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mínimo.</w:t>
      </w:r>
    </w:p>
    <w:p w14:paraId="68A6E7B4" w14:textId="00A5B349" w:rsidR="002E2F5B" w:rsidRDefault="002E2F5B"/>
    <w:p w14:paraId="6FDBAE97" w14:textId="03F153F4" w:rsidR="003F6A83" w:rsidRDefault="003F6A83">
      <w:hyperlink r:id="rId45" w:history="1">
        <w:r w:rsidRPr="004D1AF3">
          <w:rPr>
            <w:rStyle w:val="Hipervnculo"/>
          </w:rPr>
          <w:t>http://www.ihu.unisinos.br/606834-emergencia-da-fome-intensifica-luta-pelo-auxilio-emergencial-e-evidencia-necessidade-da-renda-minima-entrevista-especial-com-jose-antonio-moroni</w:t>
        </w:r>
      </w:hyperlink>
    </w:p>
    <w:p w14:paraId="12F76797" w14:textId="77777777" w:rsidR="003F6A83" w:rsidRDefault="003F6A83"/>
    <w:sectPr w:rsidR="003F6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83"/>
    <w:rsid w:val="002E2F5B"/>
    <w:rsid w:val="003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76D1"/>
  <w15:chartTrackingRefBased/>
  <w15:docId w15:val="{C46B215C-774D-43E6-98E4-FA66B23E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A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14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78573608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05477155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93494632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24068654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92456272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81483176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4321497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30320164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90017172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7883-conceito-de-desenvolvimento-deve-tambem-compreender-medidas-de-saude-publica-entrevista-especial-com-paulo-buss" TargetMode="External"/><Relationship Id="rId13" Type="http://schemas.openxmlformats.org/officeDocument/2006/relationships/hyperlink" Target="http://www.ihu.unisinos.br/78-noticias/605668-nao-sei-o-que-vou-fazer-relatos-de-quem-tem-no-auxilio-emergencial-sua-unica-renda" TargetMode="External"/><Relationship Id="rId18" Type="http://schemas.openxmlformats.org/officeDocument/2006/relationships/hyperlink" Target="http://www.ihu.unisinos.br/159-noticias/entrevistas/603908-pandemia-sanitaria-da-mais-uma-volta-no-parafuso-da-fome-nos-paises-empobrecidos-entrevista-especial-com-jose-graziano-da-silva" TargetMode="External"/><Relationship Id="rId26" Type="http://schemas.openxmlformats.org/officeDocument/2006/relationships/hyperlink" Target="http://www.ihu.unisinos.br/159-noticias/entrevistas/606041-por-uma-numa-renda-basica-parcial-que-incorpore-as-caracteristicas-de-uma-renda-basica-universal-incondicional-regular-em-dinheiro-individual-e-universal-entrevista-especial-com-fabio-waltenberg" TargetMode="External"/><Relationship Id="rId39" Type="http://schemas.openxmlformats.org/officeDocument/2006/relationships/hyperlink" Target="http://www.ihu.unisinos.br/78-noticias/596535-o-futuro-incerto-do-bolsa-familia-sob-bolsona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78-noticias/596442-fila-do-bolsa-familia-ja-tem-3-5-milhoes-de-pessoas-municipios-voltam-a-dar-cesta-basica" TargetMode="External"/><Relationship Id="rId34" Type="http://schemas.openxmlformats.org/officeDocument/2006/relationships/hyperlink" Target="http://www.ihu.unisinos.br/597377" TargetMode="External"/><Relationship Id="rId42" Type="http://schemas.openxmlformats.org/officeDocument/2006/relationships/hyperlink" Target="http://www.ihu.unisinos.br/159-noticias/entrevistas/602313-o-bolsonarismo-com-sua-receita-de-aniquilacao-da-politica-e-catalisacao-das-desilusoes-reverte-queda-de-popularidade-entrevista-especial-com-esther-solan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hu.unisinos.br/78-noticias/605983-bancos-de-investimento-brindam-a-pandemia-em-2020-embolsaram-124-5-bilhoes-de-dolares-em-comissoes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ihu.unisinos.br/noticias/44177-assistencia-social-vai-virar-lei-e-obrigar-setor-publico-a-investir-mais" TargetMode="External"/><Relationship Id="rId25" Type="http://schemas.openxmlformats.org/officeDocument/2006/relationships/hyperlink" Target="http://www.ihu.unisinos.br/78-noticias/602796-onu-renda-minima-temporaria-ou-renda-basica-universal" TargetMode="External"/><Relationship Id="rId33" Type="http://schemas.openxmlformats.org/officeDocument/2006/relationships/hyperlink" Target="http://www.ihu.unisinos.br/78-noticias/604576-bolsa-familia-renda-basica-e-autonomia-territorial" TargetMode="External"/><Relationship Id="rId38" Type="http://schemas.openxmlformats.org/officeDocument/2006/relationships/hyperlink" Target="http://www.ihu.unisinos.br/159-noticias/entrevistas/572213-o-desenvolvimento-de-uma-etica-de-valores-republicanos-na-administracao-publica-deve-incluir-o-sistema-financeiro-entrevista-especial-com-guilherme-delgado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78-noticias/601263-em-edicao-metade-da-populacao-brasileira-foi-beneficiada-pelo-auxilio-emergencial-do-governo-em-junho" TargetMode="External"/><Relationship Id="rId20" Type="http://schemas.openxmlformats.org/officeDocument/2006/relationships/hyperlink" Target="http://www.ihu.unisinos.br/noticias/520580-o-bolsa-familia-e-outras-bolsas" TargetMode="External"/><Relationship Id="rId29" Type="http://schemas.openxmlformats.org/officeDocument/2006/relationships/hyperlink" Target="http://www.ihu.unisinos.br/159-noticias/entrevistas/579080-reforma-tributaria-e-a-reducao-da-progressividde-do-imposto-reverter-a-origem-dos-tributos-de-impostos-sobre-consumo-e-servicos-para-impostos-sobre-a-renda-entrevista-especial-com-rodrigo-de-losso" TargetMode="External"/><Relationship Id="rId41" Type="http://schemas.openxmlformats.org/officeDocument/2006/relationships/hyperlink" Target="http://www.ihu.unisinos.br/78-noticias/606543-como-os-dogmas-neoliberais-estao-dificultando-a-resolucao-da-pandem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98849-a-pandemia-e-a-necessidade-de-uma-reforma-universal-do-bem-estar-social-e-de-uma-renda-basica" TargetMode="External"/><Relationship Id="rId11" Type="http://schemas.openxmlformats.org/officeDocument/2006/relationships/hyperlink" Target="http://www.ihu.unisinos.br/78-noticias/596497-bolsa-familia-pobreza-e-migracao-no-brasil-e-na-america-latina" TargetMode="External"/><Relationship Id="rId24" Type="http://schemas.openxmlformats.org/officeDocument/2006/relationships/hyperlink" Target="http://www.ihu.unisinos.br/78-noticias/580012-renda-basica-universal-a-ultima-fronteira-do-estado-de-bem-estar-social" TargetMode="External"/><Relationship Id="rId32" Type="http://schemas.openxmlformats.org/officeDocument/2006/relationships/hyperlink" Target="http://www.ihu.unisinos.br/188-noticias/noticias-2018/576564-bolsa-familia-e-unico-gasto-que-chega-aos-pobres-aponta-ocde" TargetMode="External"/><Relationship Id="rId37" Type="http://schemas.openxmlformats.org/officeDocument/2006/relationships/hyperlink" Target="https://twitter.com/intent/tweet?text=Horr%C3%ADvel%20o%20governo%20falar%20em%20%E2%80%9Cinvis%C3%ADveis%E2%80%9D.%20Invis%C3%ADveis%20para%20eles%20que%20n%C3%A3o%20andam%20pelas%20ruas%20de%20nossas%20cidades,%20que%20n%C3%A3o%20olham%20pelas%20suas%20janelas%20%E2%80%93%20Jos%C3%A9%20Ant%C3%B4nio%20Moroni%20http%3A%2F%2Fwww.ihu.unisinos.br%2F606834-emergencia-da-fome-intensifica-luta-pelo-auxilio-emergencial-e-evidencia-necessidade-da-renda-minima-entrevista-especial-com-jose-antonio-moroni+via+%40_ihu" TargetMode="External"/><Relationship Id="rId40" Type="http://schemas.openxmlformats.org/officeDocument/2006/relationships/hyperlink" Target="http://www.ihu.unisinos.br/159-noticias/entrevistas/602172-liberais-e-progressistas-aprovam-a-renda-basica-quem-vai-pagar-a-conta-entretanto-e-a-disputa-no-modelo-a-ser-adotado-entrevista-especial-com-guilherme-mello" TargetMode="External"/><Relationship Id="rId45" Type="http://schemas.openxmlformats.org/officeDocument/2006/relationships/hyperlink" Target="http://www.ihu.unisinos.br/606834-emergencia-da-fome-intensifica-luta-pelo-auxilio-emergencial-e-evidencia-necessidade-da-renda-minima-entrevista-especial-com-jose-antonio-moroni" TargetMode="External"/><Relationship Id="rId5" Type="http://schemas.openxmlformats.org/officeDocument/2006/relationships/hyperlink" Target="http://www.ihu.unisinos.br/78-noticias/601685-a-insuficiencia-do-auxilio-emergencial-no-brasil" TargetMode="External"/><Relationship Id="rId15" Type="http://schemas.openxmlformats.org/officeDocument/2006/relationships/hyperlink" Target="http://www.ihu.unisinos.br/159-noticias/entrevistas/599662-34-dos-domicilios-brasileiros-dependem-de-70-da-renda-dos-idosos-entrevista-especial-com-ana-amelia-camarano" TargetMode="External"/><Relationship Id="rId23" Type="http://schemas.openxmlformats.org/officeDocument/2006/relationships/hyperlink" Target="http://www.ihu.unisinos.br/78-noticias/603484-renda-basica-universal-30-000-assinaturas-mais-proximas-de-bruxelas" TargetMode="External"/><Relationship Id="rId28" Type="http://schemas.openxmlformats.org/officeDocument/2006/relationships/hyperlink" Target="http://www.ihu.unisinos.br/78-noticias/601055-a-renda-basica-universal-na-america-latina-e-no-caribe-uma-medida-de-vida-ou-morte-apos-a-pandemia" TargetMode="External"/><Relationship Id="rId36" Type="http://schemas.openxmlformats.org/officeDocument/2006/relationships/hyperlink" Target="http://www.ihu.unisinos.br/159-noticias/entrevistas/21416-cooperativismo-de-credito-entrevista-especial-com-edio-spier" TargetMode="External"/><Relationship Id="rId10" Type="http://schemas.openxmlformats.org/officeDocument/2006/relationships/hyperlink" Target="http://www.ihu.unisinos.br/noticias/536022-qparece-que-junho-de-2013-nao-aconteceuq-diz-especialista" TargetMode="External"/><Relationship Id="rId19" Type="http://schemas.openxmlformats.org/officeDocument/2006/relationships/hyperlink" Target="http://www.ihu.unisinos.br/78-noticias/602843-menos-r-300-reais-quais-os-impactos-da-reducao-do-auxilio-emergencial" TargetMode="External"/><Relationship Id="rId31" Type="http://schemas.openxmlformats.org/officeDocument/2006/relationships/hyperlink" Target="http://www.ihu.unisinos.br/78-noticias/597328-covid-19-a-pandemia-ensina-ao-mundo-a-verdade-sobre-o-gasto-publico" TargetMode="External"/><Relationship Id="rId44" Type="http://schemas.openxmlformats.org/officeDocument/2006/relationships/hyperlink" Target="https://www.rendabasica.org.br/" TargetMode="External"/><Relationship Id="rId4" Type="http://schemas.openxmlformats.org/officeDocument/2006/relationships/hyperlink" Target="http://www.ihu.unisinos.br/78-noticias/600152-os-r-600-que-podem-mudar-a-face-do-brasil" TargetMode="External"/><Relationship Id="rId9" Type="http://schemas.openxmlformats.org/officeDocument/2006/relationships/hyperlink" Target="http://www.ihu.unisinos.br/596874-economizar-no-bolsa-familia-e-uma-opcao-governamental-entrevista-especial-com-tereza-campello" TargetMode="External"/><Relationship Id="rId14" Type="http://schemas.openxmlformats.org/officeDocument/2006/relationships/hyperlink" Target="http://www.ihu.unisinos.br/78-noticias/578826-a-falsa-dicotomia-entre-a-economia-e-o-social" TargetMode="External"/><Relationship Id="rId22" Type="http://schemas.openxmlformats.org/officeDocument/2006/relationships/hyperlink" Target="http://www.ihu.unisinos.br/78-noticias/596231-bolsonaro-impede-acesso-dos-mais-pobres-ao-bolsa-familia-e-fila-de-espera-chega-a-1-milhao" TargetMode="External"/><Relationship Id="rId27" Type="http://schemas.openxmlformats.org/officeDocument/2006/relationships/hyperlink" Target="http://www.ihu.unisinos.br/186-noticias/noticias-2017/569667-para-combater-as-desigualdades-e-preciso-uma-renda-universal-entrevista-com-luigi-ferrajoli" TargetMode="External"/><Relationship Id="rId30" Type="http://schemas.openxmlformats.org/officeDocument/2006/relationships/hyperlink" Target="http://www.ihu.unisinos.br/78-noticias/593811-uma-tributacao-para-o-seculo-xxi" TargetMode="External"/><Relationship Id="rId35" Type="http://schemas.openxmlformats.org/officeDocument/2006/relationships/hyperlink" Target="http://www.ihu.unisinos.br/78-noticias/597065-ate-quando-vamos-segurar-a-fila-do-bolsa-familia-com-tanta-gente-na-rua-ate-quando-vamos-segurar-os-beneficios-do-inss-para-milhoes-questiona-sociologo" TargetMode="External"/><Relationship Id="rId43" Type="http://schemas.openxmlformats.org/officeDocument/2006/relationships/hyperlink" Target="http://www.ihu.unisinos.br/78-noticias/603316-bolsonaro-tirara-de-pobres-para-dar-a-pauperrimos-diz-economista-sobre-renda-cid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5593</Words>
  <Characters>30765</Characters>
  <Application>Microsoft Office Word</Application>
  <DocSecurity>0</DocSecurity>
  <Lines>256</Lines>
  <Paragraphs>72</Paragraphs>
  <ScaleCrop>false</ScaleCrop>
  <Company/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2021-02-18T13:40:00Z</dcterms:created>
  <dcterms:modified xsi:type="dcterms:W3CDTF">2021-02-18T13:46:00Z</dcterms:modified>
</cp:coreProperties>
</file>