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8C8AF" w14:textId="77777777" w:rsidR="00A95764" w:rsidRPr="00A95764" w:rsidRDefault="00A95764" w:rsidP="00A95764">
      <w:pPr>
        <w:spacing w:after="225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</w:pPr>
      <w:r w:rsidRPr="00A9576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 xml:space="preserve">A </w:t>
      </w:r>
      <w:proofErr w:type="spellStart"/>
      <w:r w:rsidRPr="00A9576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>Campanha</w:t>
      </w:r>
      <w:proofErr w:type="spellEnd"/>
      <w:r w:rsidRPr="00A9576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 xml:space="preserve"> da </w:t>
      </w:r>
      <w:proofErr w:type="spellStart"/>
      <w:r w:rsidRPr="00A9576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>Fraternidade</w:t>
      </w:r>
      <w:proofErr w:type="spellEnd"/>
      <w:r w:rsidRPr="00A9576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>Ecumênica</w:t>
      </w:r>
      <w:proofErr w:type="spellEnd"/>
      <w:r w:rsidRPr="00A9576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 xml:space="preserve"> e a </w:t>
      </w:r>
      <w:proofErr w:type="spellStart"/>
      <w:r w:rsidRPr="00A9576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>Covardia</w:t>
      </w:r>
      <w:proofErr w:type="spellEnd"/>
      <w:r w:rsidRPr="00A9576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 xml:space="preserve"> Episcopal</w:t>
      </w:r>
    </w:p>
    <w:p w14:paraId="2445263A" w14:textId="77777777" w:rsidR="00A95764" w:rsidRDefault="00A95764" w:rsidP="00A95764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</w:pPr>
      <w:hyperlink r:id="rId5" w:tooltip="Portal das CEBs" w:history="1">
        <w:r w:rsidRPr="00A95764">
          <w:rPr>
            <w:rFonts w:ascii="Segoe UI" w:eastAsia="Times New Roman" w:hAnsi="Segoe UI" w:cs="Segoe UI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Portal das CEBs</w:t>
        </w:r>
      </w:hyperlink>
      <w:r w:rsidRPr="00A95764">
        <w:rPr>
          <w:rFonts w:ascii="Segoe UI" w:eastAsia="Times New Roman" w:hAnsi="Segoe UI" w:cs="Segoe UI"/>
          <w:color w:val="333333"/>
          <w:sz w:val="18"/>
          <w:szCs w:val="18"/>
          <w:lang w:val="es-UY" w:eastAsia="es-UY"/>
        </w:rPr>
        <w:t> </w:t>
      </w:r>
      <w:hyperlink r:id="rId6" w:tgtFrame="_blank" w:history="1">
        <w:r w:rsidRPr="00A95764">
          <w:rPr>
            <w:rFonts w:ascii="Segoe UI" w:eastAsia="Times New Roman" w:hAnsi="Segoe UI" w:cs="Segoe UI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</w:t>
        </w:r>
      </w:hyperlink>
      <w:r w:rsidRPr="00A9576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</w:p>
    <w:p w14:paraId="036230A5" w14:textId="77777777" w:rsidR="00A95764" w:rsidRDefault="00A95764" w:rsidP="00A95764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</w:pPr>
    </w:p>
    <w:p w14:paraId="5C0C01FA" w14:textId="15C2661D" w:rsidR="00A95764" w:rsidRDefault="00A95764" w:rsidP="00A95764">
      <w:pPr>
        <w:spacing w:after="0" w:line="240" w:lineRule="auto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  <w:hyperlink r:id="rId7" w:history="1">
        <w:r w:rsidRPr="00A95764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Por Francisco </w:t>
        </w:r>
        <w:proofErr w:type="spellStart"/>
        <w:r w:rsidRPr="00A95764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>Orofino</w:t>
        </w:r>
        <w:proofErr w:type="spellEnd"/>
      </w:hyperlink>
    </w:p>
    <w:p w14:paraId="5DD42433" w14:textId="77777777" w:rsidR="00A95764" w:rsidRPr="00A95764" w:rsidRDefault="00A95764" w:rsidP="00A95764">
      <w:pPr>
        <w:spacing w:after="0" w:line="240" w:lineRule="auto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</w:p>
    <w:p w14:paraId="53B4C3FD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5ª CFE, explicitada no Texto Base,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recebeu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distintas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reações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parte do episcopado católico.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Vários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bispos,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graças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Deus!,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assumiram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corajosamente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No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entanto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grande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maioria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permaneceu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silenciosa,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 bispo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fez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missa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(!) de abertura 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entregou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desafio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párocos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Alguns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entanto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refutaram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apenas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Campanha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próprio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Ecumenismo em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dioceses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É triste constatar que,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depois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60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Concílio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”, o termo “ecumenismo”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ainda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apavora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certos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bispos.</w:t>
      </w:r>
    </w:p>
    <w:p w14:paraId="58CFA2FD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Também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podemos constatar que 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pastorais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sugeridas pelo Texto Base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contra a pauta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bolsonarista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explicitada </w:t>
      </w:r>
      <w:proofErr w:type="gram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defendida pela ministra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Damares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alguns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bispos,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rejeitar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pastoral da 5ª CFE, apenas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revelaram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opção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política pela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bolsonarismo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Caíram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máscaras.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Aderiram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Anti-Cristo!</w:t>
      </w:r>
    </w:p>
    <w:p w14:paraId="30ACBB32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repetir o que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está indicado no Texto Base. Destaco apenas que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importante ponto de partida seria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criação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grupos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intereclesiais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boa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avaliação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caminhada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destacando os frutos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pastorais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gerados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até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agora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Afinal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sendo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quinta CFE, podemos rever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tudo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aquilo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conseguimos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atingimos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nestes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últimos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vinte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anos.</w:t>
      </w:r>
    </w:p>
    <w:p w14:paraId="6D964D98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5ª CFE é construir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diálogo amoroso. Ora, diálogo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supõe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vencer 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atuais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muros que nos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separam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Para tanto, precisamos ser “amorosos”,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construir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ecumenismo a partir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envolvimento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afetivo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Ecumenismo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amizade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pela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proximidade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pelos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encontros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pela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partilha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dar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concretos que nos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vencer 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desconfianças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preconceitos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barreiras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criadas por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identidades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confessionais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diálogo amoroso permite que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partilhemos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dores </w:t>
      </w:r>
      <w:proofErr w:type="gram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alegrias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atingem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todos, indistintamente, para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além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confissões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religiosas. É importante que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saibamos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acolher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sabendo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respeitar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>tradições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ritos,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maneiras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diferentes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agir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pensar,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exprimir, de congregar.</w:t>
      </w:r>
    </w:p>
    <w:p w14:paraId="3A2BB7A8" w14:textId="77777777" w:rsidR="00A95764" w:rsidRPr="00A95764" w:rsidRDefault="00A95764" w:rsidP="00A9576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ressaltar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pronunciamentos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recentes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Igreja Católica Romana. São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algumas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citações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última Encíclica do papa Francisco, a </w:t>
      </w:r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Fratelli </w:t>
      </w:r>
      <w:proofErr w:type="spellStart"/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Tutti</w:t>
      </w:r>
      <w:proofErr w:type="spellEnd"/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(FT),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lançada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04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outubro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2020, e do Documento do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Pontifício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Conselho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Promoção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chamado “</w:t>
      </w:r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O Bispo e a </w:t>
      </w:r>
      <w:proofErr w:type="spellStart"/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unidade</w:t>
      </w:r>
      <w:proofErr w:type="spellEnd"/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dos </w:t>
      </w:r>
      <w:proofErr w:type="spellStart"/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cristãos</w:t>
      </w:r>
      <w:proofErr w:type="spellEnd"/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– </w:t>
      </w:r>
      <w:proofErr w:type="spellStart"/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Vademecum</w:t>
      </w:r>
      <w:proofErr w:type="spellEnd"/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Ecumênico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”, de 04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dezembro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2020.</w:t>
      </w:r>
    </w:p>
    <w:p w14:paraId="3A317030" w14:textId="77777777" w:rsidR="00A95764" w:rsidRPr="00A95764" w:rsidRDefault="00A95764" w:rsidP="00A9576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Fratelli </w:t>
      </w:r>
      <w:proofErr w:type="spellStart"/>
      <w:r w:rsidRPr="00A9576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Tutti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 papa Francisco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aponta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bases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verdadeiro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diálogo que procura superar 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divisões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desconfianças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mútuas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No capítulo 6 da FT, Francisco reflete sobre o Diálogo e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Amizade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Social. Vale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pena conversar sobre esta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(FT 203): “O diálogo social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autêntico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pressupõe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capacidade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respeitar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ponto de vista do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aceitando como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possível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contenha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convicções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interesses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legítimos. A partir da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própria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identidade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algo para dar, e é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desejável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aprofunde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exponha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posição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que o debate público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ainda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completo.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dúvida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grupo é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coerente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que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pensa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adere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firmemente a valores 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convicções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desenvolve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pensamento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isto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irá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maneira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beneficiar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;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só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verifica realmente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medida em que o referido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desenvolvimento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realizar em diálogo 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abertura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efeito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«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verdadeiro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espírito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diálogo, nutre-se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capacidade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entender o sentido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daquilo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faz,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embora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assumi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-lo como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convicção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própria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modo torna-se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possível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sincero,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dissimular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que acreditamos,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deixar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dialogar, procurar pontos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contato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sobretudo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trabalhar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juntos». O debate público, se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verdadeiramente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espaço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todos 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manipular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ocultar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informações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estímulo constante que permite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alcançar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forma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adequada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pelo menos,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exprimi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-la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melhor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Impede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vários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setores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instalem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cômodos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autossuficientes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maneira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ver 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coisas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nos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interesses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limitados. Pensemos que «as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diferenças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criativas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criam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tensão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resolução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duma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tensão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está 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progresso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humanidade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».</w:t>
      </w:r>
    </w:p>
    <w:p w14:paraId="15A9B835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documento do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Pontifício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Conselho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bastante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prática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poderia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objeto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estudos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paróquias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longo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CFE. Este documento,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voltado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pastoral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dioceses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católicas,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traz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importantes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sugestões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práticas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voltadas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construção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partir das frentes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pastorais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comunidades católicas. O esquema do Documento é 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seguinte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:</w:t>
      </w:r>
    </w:p>
    <w:p w14:paraId="2B0C89C5" w14:textId="77777777" w:rsidR="00A95764" w:rsidRPr="00A95764" w:rsidRDefault="00A95764" w:rsidP="00A9576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promoção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Ecumenismo dentro da Igreja</w:t>
      </w:r>
    </w:p>
    <w:p w14:paraId="1B0E0D1B" w14:textId="77777777" w:rsidR="00A95764" w:rsidRPr="00A95764" w:rsidRDefault="00A95764" w:rsidP="00A9576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Igreja Católica 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cristãos</w:t>
      </w:r>
      <w:proofErr w:type="spellEnd"/>
    </w:p>
    <w:p w14:paraId="051983AD" w14:textId="77777777" w:rsidR="00A95764" w:rsidRPr="00A95764" w:rsidRDefault="00A95764" w:rsidP="00A9576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 Ecumenismo Espiritual</w:t>
      </w:r>
    </w:p>
    <w:p w14:paraId="3EDD4689" w14:textId="77777777" w:rsidR="00A95764" w:rsidRPr="00A95764" w:rsidRDefault="00A95764" w:rsidP="00A9576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Diálogo da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Caridade</w:t>
      </w:r>
      <w:proofErr w:type="spellEnd"/>
    </w:p>
    <w:p w14:paraId="49E7C292" w14:textId="77777777" w:rsidR="00A95764" w:rsidRPr="00A95764" w:rsidRDefault="00A95764" w:rsidP="00A9576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Diálogo da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</w:t>
      </w:r>
      <w:proofErr w:type="spellEnd"/>
    </w:p>
    <w:p w14:paraId="5B203BD8" w14:textId="77777777" w:rsidR="00A95764" w:rsidRPr="00A95764" w:rsidRDefault="00A95764" w:rsidP="00A9576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 Diálogo da Vida</w:t>
      </w:r>
    </w:p>
    <w:p w14:paraId="7EA4C161" w14:textId="77777777" w:rsidR="00A95764" w:rsidRPr="00A95764" w:rsidRDefault="00A95764" w:rsidP="00A9576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 Ecumenismo Pastoral</w:t>
      </w:r>
    </w:p>
    <w:p w14:paraId="119BA65E" w14:textId="77777777" w:rsidR="00A95764" w:rsidRPr="00A95764" w:rsidRDefault="00A95764" w:rsidP="00A95764">
      <w:pPr>
        <w:numPr>
          <w:ilvl w:val="0"/>
          <w:numId w:val="2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Ecumenismo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Prático</w:t>
      </w:r>
      <w:proofErr w:type="spellEnd"/>
    </w:p>
    <w:p w14:paraId="1B4A2F01" w14:textId="77777777" w:rsidR="00A95764" w:rsidRPr="00A95764" w:rsidRDefault="00A95764" w:rsidP="00A95764">
      <w:pPr>
        <w:numPr>
          <w:ilvl w:val="0"/>
          <w:numId w:val="3"/>
        </w:numPr>
        <w:spacing w:after="75" w:line="390" w:lineRule="atLeast"/>
        <w:ind w:left="795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 Ecumenismo Cultural.</w:t>
      </w:r>
    </w:p>
    <w:p w14:paraId="07F9FE73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Cada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divisão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Documento se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encerra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série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sugestões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práticas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assumidas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comunidades como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compromissos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concretos da CFE de 2021.</w:t>
      </w:r>
    </w:p>
    <w:p w14:paraId="1CA34763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algumas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sugestões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pastorais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:</w:t>
      </w:r>
    </w:p>
    <w:p w14:paraId="3EF670FD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Identificar 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necessidades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pastorais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0F597374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Escutar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aprender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iniciativas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pastorais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75AEDEF0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Identificar, mediante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diálogo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responsáveis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as áreas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pastorais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exigem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serviço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50AB870F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Rezar, de forma pública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privada,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lideranças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5F693D9D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– Convidar,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oportuno,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lideranças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celebrações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litúrgicas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eventos significativos da Igreja Católica.</w:t>
      </w:r>
    </w:p>
    <w:p w14:paraId="636D90D7" w14:textId="77777777" w:rsidR="00A95764" w:rsidRPr="00A95764" w:rsidRDefault="00A95764" w:rsidP="00A95764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É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o pontificado de Francisco está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propondo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caminhada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ele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joga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bola para os bispos diocesanos.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ecumenismo se concretiza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dioceses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ele continuará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sendo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mero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encontro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cúpulas das Igrejas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Escutando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algumas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lideranças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área do Ecumenismo dentro da Igreja Católica,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alguns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acham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diante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resistência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fortes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setores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episcopado brasileiro, esta seria a última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Campanha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Fraternidade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 Documento do PCUC espera que as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dioceses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assumam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corajosamente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ecumênica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Igreja Católica Romana e,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Brasil,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continuem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rica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experiência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CFE.</w:t>
      </w:r>
    </w:p>
    <w:p w14:paraId="7D5A7C04" w14:textId="77777777" w:rsidR="00A95764" w:rsidRPr="00A95764" w:rsidRDefault="00A95764" w:rsidP="00A95764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* Este texto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reflete,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necessariamente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opinião</w:t>
      </w:r>
      <w:proofErr w:type="spellEnd"/>
      <w:r w:rsidRPr="00A9576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Portal das CEBs</w:t>
      </w:r>
    </w:p>
    <w:p w14:paraId="1354A595" w14:textId="34A93C3B" w:rsidR="002E2F5B" w:rsidRDefault="00A95764">
      <w:hyperlink r:id="rId8" w:history="1">
        <w:r w:rsidRPr="00ED3B8A">
          <w:rPr>
            <w:rStyle w:val="Hipervnculo"/>
          </w:rPr>
          <w:t>https://portaldascebs.org.br/2021/03/04/a-campanha-da-fraternidade-ecumenica-e-a-covardia-episcopal/</w:t>
        </w:r>
      </w:hyperlink>
    </w:p>
    <w:p w14:paraId="3A4EBE79" w14:textId="77777777" w:rsidR="00A95764" w:rsidRDefault="00A95764"/>
    <w:sectPr w:rsidR="00A95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44BE"/>
    <w:multiLevelType w:val="multilevel"/>
    <w:tmpl w:val="00D6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6630E"/>
    <w:multiLevelType w:val="multilevel"/>
    <w:tmpl w:val="CE76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B5EBF"/>
    <w:multiLevelType w:val="multilevel"/>
    <w:tmpl w:val="FA58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64"/>
    <w:rsid w:val="002E2F5B"/>
    <w:rsid w:val="00A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048F"/>
  <w15:chartTrackingRefBased/>
  <w15:docId w15:val="{25169DF2-FE0A-42F5-A6D2-DE648389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57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5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186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20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7666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1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scebs.org.br/2021/03/04/a-campanha-da-fraternidade-ecumenica-e-a-covardia-episcop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autor-colunista/francisco-orofi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@iserassessoria.org.br" TargetMode="External"/><Relationship Id="rId5" Type="http://schemas.openxmlformats.org/officeDocument/2006/relationships/hyperlink" Target="https://portaldascebs.org.br/author/erik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2021-03-08T13:07:00Z</dcterms:created>
  <dcterms:modified xsi:type="dcterms:W3CDTF">2021-03-08T13:08:00Z</dcterms:modified>
</cp:coreProperties>
</file>