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D43F1" w14:textId="77777777" w:rsidR="00DB1855" w:rsidRPr="00DB1855" w:rsidRDefault="00DB1855" w:rsidP="00DB185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</w:pPr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 xml:space="preserve">O </w:t>
      </w:r>
      <w:proofErr w:type="spellStart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>caminho</w:t>
      </w:r>
      <w:proofErr w:type="spellEnd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>estreito</w:t>
      </w:r>
      <w:proofErr w:type="spellEnd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 xml:space="preserve"> de Francisco: </w:t>
      </w:r>
      <w:proofErr w:type="spellStart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>uma</w:t>
      </w:r>
      <w:proofErr w:type="spellEnd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>teologia</w:t>
      </w:r>
      <w:proofErr w:type="spellEnd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 xml:space="preserve"> da </w:t>
      </w:r>
      <w:proofErr w:type="spellStart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>libertação</w:t>
      </w:r>
      <w:proofErr w:type="spellEnd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>sem</w:t>
      </w:r>
      <w:proofErr w:type="spellEnd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 xml:space="preserve"> marxismo. Entrevista </w:t>
      </w:r>
      <w:proofErr w:type="spellStart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>com</w:t>
      </w:r>
      <w:proofErr w:type="spellEnd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 xml:space="preserve"> Massimo </w:t>
      </w:r>
      <w:proofErr w:type="spellStart"/>
      <w:r w:rsidRPr="00DB1855">
        <w:rPr>
          <w:rFonts w:ascii="Arial" w:eastAsia="Times New Roman" w:hAnsi="Arial" w:cs="Arial"/>
          <w:b/>
          <w:bCs/>
          <w:color w:val="ED7D31" w:themeColor="accent2"/>
          <w:kern w:val="36"/>
          <w:sz w:val="48"/>
          <w:szCs w:val="48"/>
          <w:lang w:val="es-UY" w:eastAsia="es-UY"/>
        </w:rPr>
        <w:t>Borghesi</w:t>
      </w:r>
      <w:proofErr w:type="spellEnd"/>
    </w:p>
    <w:p w14:paraId="1B4A3B35" w14:textId="77777777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5545ED3" w14:textId="09CE2172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"http://www.ihu.unisinos.br/603742" \t "_blank" </w:instrTex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DB1855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 xml:space="preserve">Massimo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>Borghesi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professor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Filosofia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Moral em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Perugia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Itália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fundamental para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compreender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pensamento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 </w:t>
      </w:r>
      <w:hyperlink r:id="rId4" w:tgtFrame="_blank" w:history="1">
        <w:r w:rsidRPr="00DB185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pontificado do Papa Francisco</w:t>
        </w:r>
      </w:hyperlink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esforço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publicado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quatro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anos (“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Jorge Mario Bergoglio.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biografia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intelectual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Vozes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2018), ele volta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oferecer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pistas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interessantes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pela editora Jaca Book,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ensaio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“Francesco. La Chiesa 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tra</w:t>
      </w:r>
      <w:proofErr w:type="spellEnd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ideologia</w:t>
      </w:r>
      <w:proofErr w:type="spellEnd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 e ‘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ospedale</w:t>
      </w:r>
      <w:proofErr w:type="spellEnd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da campo’”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[Francisco. A Igreja entre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ideologia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teoconservadora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 ‘hospital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campanha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’, em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].</w:t>
      </w:r>
    </w:p>
    <w:p w14:paraId="43E5C6F0" w14:textId="610DCBB0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94C0B5B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0C6743C" w14:textId="255C9BE5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reportagem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Alessandro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Banfi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publicado por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Vita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22-01-2021.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Moisés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Sbardelotto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CD56101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865E263" w14:textId="50F741C6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Trata-se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volume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repleto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ideias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aprofundar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disputas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filosófica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teológica, está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ligado a este momento particular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reeleição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perdida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Donald Trump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para 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Casa Branca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incapacidade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gerir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pandemia inesperada,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abriu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cenário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totalmente inédito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Igreja Católica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8A31DAD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7AAB978" w14:textId="64B63A08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Borghesi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 papado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Roma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João Paulo II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Bento XVI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principalmente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é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perspectiva do debate intelectual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teológico norte-americano, desde a queda do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Muro 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Berlim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partir 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supostos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“vencedores” da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Guerra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proclamaram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14:paraId="3DDD29FC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B9A11B4" w14:textId="1AD77322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acabou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triunfo do dólar.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Borghesi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reconstrói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tentativas,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sobretudo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Novak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Weigel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Neuhaus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de</w:t>
      </w:r>
      <w:r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hegemonizar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condicionar o catolicismo romano e até mesmo o papado.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Lendo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Borghesi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entendem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raízes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tentativa de “cisma estadunidense”.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cisma que,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modo,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encontrou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clamorosa nos últimos anos.</w:t>
      </w:r>
    </w:p>
    <w:p w14:paraId="70E7BF6F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0A5E975" w14:textId="5668A389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De fato,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nenhum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Roma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jamais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recebeu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tantas críticas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tantas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resistências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episcopado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inteiro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como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teve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sofrer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parte dos bispos norte-americanos.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 que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produziu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contraposição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motivos de fundo?</w:t>
      </w:r>
    </w:p>
    <w:p w14:paraId="0756A3DA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77F9D06B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Borghesi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descobre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analisa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rede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interpretações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enganosas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pontificados,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começando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evidente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deturpação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encíclica 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Centesimus</w:t>
      </w:r>
      <w:proofErr w:type="spellEnd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Annus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realmente leva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refletir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Interpretações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construídas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partir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relações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entrelaçando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biografias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Em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fases,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intelectuais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católicos, como o italiano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Marcello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Pera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acabam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aparecendo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exegetas do Santo Padre.</w:t>
      </w:r>
    </w:p>
    <w:p w14:paraId="45BD8B70" w14:textId="77777777" w:rsidR="00DB1855" w:rsidRPr="00DB1855" w:rsidRDefault="00DB1855" w:rsidP="00DB185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DB185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 </w:t>
      </w:r>
    </w:p>
    <w:p w14:paraId="139B22BA" w14:textId="77777777" w:rsidR="00DB1855" w:rsidRPr="00DB1855" w:rsidRDefault="00DB1855" w:rsidP="00DB185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DB185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DB185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a entrevista.</w:t>
      </w:r>
    </w:p>
    <w:p w14:paraId="419007A5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4D82291F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6"/>
          <w:szCs w:val="26"/>
          <w:lang w:val="es-UY" w:eastAsia="es-UY"/>
        </w:rPr>
      </w:pP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Comecemos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imediatamente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pelo Papa Francisco.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Por que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sua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linha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Igreja em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saída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de hospital 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campanha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é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tão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combatida pela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hierarquia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católica dos Estados Unidos?</w:t>
      </w:r>
    </w:p>
    <w:p w14:paraId="15705E7C" w14:textId="028D0166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 </w:t>
      </w:r>
      <w:hyperlink r:id="rId5" w:tgtFrame="_blank" w:history="1">
        <w:r w:rsidRPr="00DB185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Igreja estadunidense</w:t>
        </w:r>
      </w:hyperlink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grande medida, parece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as antenas para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perceber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perspectiva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apesar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viagem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Francisco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Estados Unidos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2015 ter corrido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é preciso 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perguntar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quê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 que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parte do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establishment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 estadunidense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coordenadas para entender o papa? Depende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Bergoglio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estadunidense? No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analiso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motivos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distância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as remeto à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formação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ideologia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católica conservadora, levada em frente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intelectuais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Novak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Neuhaus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Weigel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Sirico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que, no arco de 40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desde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presidência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Reagan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impôs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-se no catolicismo estadunidense.</w:t>
      </w:r>
    </w:p>
    <w:p w14:paraId="767B46A5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2E574D2" w14:textId="725228AB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Trata-se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“americanismo católico” que,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crítica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progressismo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1970, desposa o modelo capitalista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batalhas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éticas contra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secularização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apologia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mercado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restrições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luta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o aborto,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eutanásia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casamento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gay. Nasce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nova figura de católico, o “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cristianista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”, lucidamente diagnosticado por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Lucio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Brunelli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artigo da revista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Vita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2001.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metamorfose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catolicismo que,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missionário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aberto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diálogo, se torna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identitário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conflitual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de social, torna-se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eficientista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empresarial;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comunitário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torna-se individualista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burocrático; de pacífico, torna-se belicoso; de católico e universalista, torna-se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ocidentalista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Trata-se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singular, que une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espírito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militante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maniqueísta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conformismo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burguês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54EF1B49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7BF517E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Para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linha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papa,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expressada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manifesto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"http://www.ihu.unisinos.br/171-noticias/noticias-2013/526119-um-guia-para-a-evangelii-gaudium" \t "_blank" </w:instrTex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DB185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Evangelii</w:t>
      </w:r>
      <w:proofErr w:type="spellEnd"/>
      <w:r w:rsidRPr="00DB185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gaudium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parece hostil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incompreensível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questiona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novamente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postulados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a agenda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ética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adesão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capitalismo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católicos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saiam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gueto, da fortaleza em que 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blindaram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após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queda do comunismo.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Pede-lhes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sujem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levem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destino do mundo,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levem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todos a mansa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humanidade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Redentor,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insígnia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bandeiras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guerreiras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através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gestos de ternura.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lado, ele contesta duramente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modelo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econômico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da era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globalização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religião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mercado,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aboliu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laços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proteções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rebaixou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classe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média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criou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milhões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pobres. Do ponto de vista 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intelectuais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inadmissível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partir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nasce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lenda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“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vermelho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”,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peronista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populista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51A600E6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Se os “</w:t>
      </w:r>
      <w:proofErr w:type="gram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norte-americanos</w:t>
      </w:r>
      <w:proofErr w:type="gram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” (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fldChar w:fldCharType="begin"/>
      </w:r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instrText xml:space="preserve"> HYPERLINK "http://www.ihu.unisinos.br/78-noticias/582168-ex-nuncio-nos-eua-vigano-o-papa-deve-renunciar" \t "_blank" </w:instrText>
      </w:r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fldChar w:fldCharType="separate"/>
      </w:r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>Dom</w:t>
      </w:r>
      <w:proofErr w:type="spellEnd"/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>Viganò</w:t>
      </w:r>
      <w:proofErr w:type="spellEnd"/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>ex-núncio</w:t>
      </w:r>
      <w:proofErr w:type="spellEnd"/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>pediu</w:t>
      </w:r>
      <w:proofErr w:type="spellEnd"/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>renúncia</w:t>
      </w:r>
      <w:proofErr w:type="spellEnd"/>
      <w:r w:rsidRPr="00DB1855">
        <w:rPr>
          <w:rFonts w:ascii="Georgia" w:eastAsia="Times New Roman" w:hAnsi="Georgia" w:cs="Times New Roman"/>
          <w:color w:val="ED7D31" w:themeColor="accent2"/>
          <w:sz w:val="26"/>
          <w:szCs w:val="26"/>
          <w:u w:val="single"/>
          <w:lang w:val="es-UY" w:eastAsia="es-UY"/>
        </w:rPr>
        <w:t xml:space="preserve"> do papa</w:t>
      </w:r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fldChar w:fldCharType="end"/>
      </w:r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)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estão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vanguarda do ataque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papa,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há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também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alas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progressistas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que 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criticam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segundo as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quais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o pontificado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já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estaria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em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declínio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...</w:t>
      </w:r>
    </w:p>
    <w:p w14:paraId="687D653F" w14:textId="73F6A066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crítica dos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progressistas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Nos últimos anos, eles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apoiaram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pensando que ele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revolucionar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 Igreja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Ficaram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decepcionados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compreenderam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em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temas, este papa permanece firme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custódia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o caso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ordenação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mulheres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casados. 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progressistas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cometeram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mesmo erro que os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tradicionalistas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imaginaram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existe.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certamente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conservador, é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papa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missionário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social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esta é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fisionomia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reacionários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confundem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progressismo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aquilo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é ditado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espírito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missionário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perspectiva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missionária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aceitar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imóvel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fechada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defensiva. Espera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 em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saída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visa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àquilo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atrai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mensagem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proibições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o fruto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escolhas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históricas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ditadas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circunstâncias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particulares.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jesuíta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missionário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faz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todos, para conquistar todos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amor de Cristo.</w:t>
      </w:r>
    </w:p>
    <w:p w14:paraId="577463F0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DA21F18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crônica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das últimas semanas,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viagem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do Papa Francisco 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Bagdá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dedicada como ele mesmo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disse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 São João Paulo II,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lembrou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 todos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nós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do poder profético 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Woytjla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que, de forma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alguma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, quis “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batizar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” a guerra no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Iraque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Nem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em 1990-1991,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nem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em 2002,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depois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do 11 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setembro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. João Paulo II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então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“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salvou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” a Igreja da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identificação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Ocidente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e se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afastou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da tentativa 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instrumentalização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por parte dos pensadores que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você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analisa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no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seu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livro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: Michael Novak, em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primeiro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lugar, 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depois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também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Weigel 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Neuhaus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...</w:t>
      </w:r>
    </w:p>
    <w:p w14:paraId="3F8FA333" w14:textId="272AC3D5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Sim, o americanismo católico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havia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proposto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1990, como o intérprete oficial, nos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mensagem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João Paulo II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2003,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guerra injustificada contra o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Iraque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os pensadores 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optaram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fortemente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pelo presidente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Bush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contra o papa. Os papistas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americanistas, e a guerra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mostrava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absoluta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evidência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onde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Novak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Weigel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Neuhaus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tentaram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todas as formas persuadir o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Vaticano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Roma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bondade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guerra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resultado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milhares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mortes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destruição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país,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êxodo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bíblico da histórica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comunidade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iraquiana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Nínive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Babilônia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erro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gravíssimo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nunca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reconhecido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melhor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qualquer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argumento, permite evidenciar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ideologia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EA78D75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6"/>
          <w:szCs w:val="26"/>
          <w:lang w:val="es-UY" w:eastAsia="es-UY"/>
        </w:rPr>
      </w:pPr>
    </w:p>
    <w:p w14:paraId="0474C04F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6"/>
          <w:szCs w:val="26"/>
          <w:lang w:val="es-UY" w:eastAsia="es-UY"/>
        </w:rPr>
      </w:pP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Naqueles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discursos 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6"/>
          <w:szCs w:val="26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sempre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se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citava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 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6"/>
          <w:szCs w:val="26"/>
          <w:lang w:val="es-UY" w:eastAsia="es-UY"/>
        </w:rPr>
        <w:t>Centesimus</w:t>
      </w:r>
      <w:proofErr w:type="spellEnd"/>
      <w:r w:rsidRPr="00DB1855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6"/>
          <w:szCs w:val="26"/>
          <w:lang w:val="es-UY" w:eastAsia="es-UY"/>
        </w:rPr>
        <w:t>Annus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mas,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realidade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essa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encíclica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respeitava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tradição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doutrina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social da Igreja, que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continuava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alertando para todos os riscos do capitalismo...</w:t>
      </w:r>
    </w:p>
    <w:p w14:paraId="0E0255F1" w14:textId="6CEA9B7E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descrevo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operação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Centesimus</w:t>
      </w:r>
      <w:proofErr w:type="spellEnd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Annus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João Paulo II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publicou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1992, logo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após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queda do comunismo, o papa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pretendia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modelo social fundamentado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dignidade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encíclica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nada terna em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modelo capitalista,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critica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corrige de modo substancial,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perfeita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continuidade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 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antecessores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operação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habilidosa,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Novak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Neuhaus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Weigel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hesitam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se “apoderar” do texto,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oferecendo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hermenêutica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claramente deformadora dele.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leitura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deles é que o papa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polonês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oferecido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pela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vez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social, a plena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reconciliação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catolicismo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capitalismo,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conciliação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oferecida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Novak no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espírito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capitalismo democrático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de 1982. O papa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rompido,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profunda,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tradicional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Incrivelmente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hermenêutica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neocon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consegue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afirmar,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daí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nasce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lenda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Centesimus</w:t>
      </w:r>
      <w:proofErr w:type="spellEnd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Annus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como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encíclica do capitalismo.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Graças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operação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neoconservadores torna-se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hegemônico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 dos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europeia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F5C1061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AA7BDB8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No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seu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ensaio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é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muito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interessante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referência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à obra David Schindler,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professor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Fundamental no Instituto João Paulo II de Washington 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codiretor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da revista Communio, que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foi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crucial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crítica cerrada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aos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ideólogos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teocons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em defesa da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linha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Balthasar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-De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Lubac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-Ratzinger.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obra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pouco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conhecida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Itália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até por ser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pouco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traduzida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...</w:t>
      </w:r>
    </w:p>
    <w:p w14:paraId="6025F40A" w14:textId="09ED50C1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De meados 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1980 a meados 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1990,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desenvolveu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-se nos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debates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intelectuais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interessantes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mundo católico.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trio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"http://www.ihu.unisinos.br/78-noticias/582858-uma-academia-teocon-em-defesa-da-cristandade-nao-e-verdade-que-somos-contra-o-papa-francisco" \t "_blank" </w:instrTex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DB185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Novak-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Neuhaus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-Weigel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e,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David Schindler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As revistas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Communio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30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Days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terreno da disputa.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começa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entrevista que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Ratzinger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concedeu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Lucio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Brunelli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em 1986 para a revista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30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Giorni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Nela,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estigmatizava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rosto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burguês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EUA de Reagan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acusação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do ponto de vista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nascente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corrente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tolerada.</w:t>
      </w:r>
    </w:p>
    <w:p w14:paraId="703FA4CC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8D46EAF" w14:textId="58A6D7CF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réplica,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Weigel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teoriza o rosto “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dos valores estadunidenses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critica a perspectiva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Ratzinger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acusando-a de ceder à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progressista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respostas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Schindler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objetaria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dualismo teológico de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Weigel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entre natural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sobrenatural, era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diretamente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responsável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consagração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rosto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burguês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catocapitalismo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era o resultado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secularização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teológicamente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justificado. </w:t>
      </w:r>
    </w:p>
    <w:p w14:paraId="13B20ECC" w14:textId="77777777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B100651" w14:textId="30EE5F7C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tomista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“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agostiniano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Schindler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objetava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tomista “cartesiano”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Weigel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promovia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dualismo sistemático entre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forma que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fermento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massa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apenas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corolário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caminhava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as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pernas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precisava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nenhum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“surplus”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teologização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capitalismo </w:t>
      </w:r>
      <w:proofErr w:type="gram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valores individualistas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solidários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operada pelos 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neocon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era o resultado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teológica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inadequada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esquecia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novidade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43D1D470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0CF0D5F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6"/>
          <w:szCs w:val="26"/>
          <w:lang w:val="es-UY" w:eastAsia="es-UY"/>
        </w:rPr>
      </w:pP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Você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sustenta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tese, que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eu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me lembro que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foi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expressada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pelo grande Augusto Del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Noce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pouco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antes da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sua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morte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: para João Paulo II e a Igreja,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depois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da queda do Muro 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Berlim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, 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desafio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passava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a ser o de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autêntica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libertação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sem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marxismo: 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caminho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que </w:t>
      </w:r>
      <w:hyperlink r:id="rId6" w:tgtFrame="_blank" w:history="1">
        <w:r w:rsidRPr="00DB1855">
          <w:rPr>
            <w:rFonts w:ascii="Georgia" w:eastAsia="Times New Roman" w:hAnsi="Georgia" w:cs="Times New Roman"/>
            <w:color w:val="ED7D31" w:themeColor="accent2"/>
            <w:sz w:val="26"/>
            <w:szCs w:val="26"/>
            <w:u w:val="single"/>
            <w:lang w:val="es-UY" w:eastAsia="es-UY"/>
          </w:rPr>
          <w:t>Alberto Methol Ferré</w:t>
        </w:r>
      </w:hyperlink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indicou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e que se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tornou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sonho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do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próprio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Bergoglio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quando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>estava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ED7D31" w:themeColor="accent2"/>
          <w:sz w:val="26"/>
          <w:szCs w:val="26"/>
          <w:lang w:val="es-UY" w:eastAsia="es-UY"/>
        </w:rPr>
        <w:t xml:space="preserve"> em Buenos Aires...</w:t>
      </w:r>
    </w:p>
    <w:p w14:paraId="4240B4FA" w14:textId="63CFB5F6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adversário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histórico da Igreja, de 1945 em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comunismo.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presença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adversário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estimulava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 e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compromisso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católicos no campo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justiça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luta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pobreza.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queda do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comunismo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compromisso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reduz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a Igreja se fecha, se une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intimamente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clericalismo amante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do poder. Trata-se da “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introversão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eclesial”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fala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vezes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lado, a Igreja se blinda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mundo da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secularização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percebido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estranho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inimigo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e,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se concentra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dinâmicas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internas,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esquecendo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-se da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missão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do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compromisso</w:t>
      </w:r>
      <w:proofErr w:type="spellEnd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social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2848013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476BAEE4" w14:textId="20322D59" w:rsid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Alberto Methol Ferré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grande intelectual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uruguaio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amigo 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Bergoglio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afirmaria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2006, no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-entrevista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Alver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Metalli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</w:t>
      </w:r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 “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Il</w:t>
      </w:r>
      <w:proofErr w:type="spellEnd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Papa e </w:t>
      </w:r>
      <w:proofErr w:type="spellStart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il</w:t>
      </w:r>
      <w:proofErr w:type="spellEnd"/>
      <w:r w:rsidRPr="00DB185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filosofo</w:t>
      </w:r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”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que, “de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forma, a ‘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evaporação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’ da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"http://www.ihu.unisinos.br/78-noticias/595462-teologia-da-libertacao-o-que-significa-no-contexto-atual" \t "_blank" </w:instrTex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DB185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libertação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diminuiu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impulso do conjunto da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Igreja latino-americana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assumir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coragem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condição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pobres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Acho que a Igreja está pagando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preço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ter se libertado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facilmente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libertação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libertação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trazido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contribuição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máxima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após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queda do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comunismo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apagar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marxismo.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é urgente compensar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ausência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14:paraId="40027E02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9213307" w14:textId="77777777" w:rsidR="00DB1855" w:rsidRPr="00DB1855" w:rsidRDefault="00DB1855" w:rsidP="00DB185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Para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Methol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Ferrè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era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necessária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libertação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marxismo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Os </w:t>
      </w:r>
      <w:proofErr w:type="spellStart"/>
      <w:r w:rsidRPr="00DB185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teocon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sucesso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grande parte precisamente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fato de que,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América Latina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no </w:t>
      </w:r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Leste 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Europeu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eles 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tornaram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arautos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capitalismo</w:t>
      </w:r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oposição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capitalismo e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comunismo, a Igreja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esqueceu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social, a mesma que o papa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repropõe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que provoca tanta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reação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católico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acostumado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anos a exaltar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-estar que se </w:t>
      </w:r>
      <w:proofErr w:type="spellStart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esquece</w:t>
      </w:r>
      <w:proofErr w:type="spellEnd"/>
      <w:r w:rsidRPr="00DB185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pobres do mundo.</w:t>
      </w:r>
    </w:p>
    <w:p w14:paraId="0332F486" w14:textId="77777777" w:rsidR="00DB1855" w:rsidRDefault="00DB1855"/>
    <w:p w14:paraId="16344420" w14:textId="01A8A74B" w:rsidR="00DB1855" w:rsidRDefault="00DB1855">
      <w:hyperlink r:id="rId7" w:history="1">
        <w:r w:rsidRPr="00E92AF3">
          <w:rPr>
            <w:rStyle w:val="Hipervnculo"/>
          </w:rPr>
          <w:t>http://www.ihu.unisinos.br/607772-o-caminho-estreito-de-francisco-uma-teologia-da-libertacao-sem-marxismo-entrevista-com-massimo-borghesi?fbclid=IwAR2bMSTt7xxFcXeAammAFmscqR8M7XHQyleO2pnLQxymq8_33H-scCxgUk4</w:t>
        </w:r>
      </w:hyperlink>
    </w:p>
    <w:p w14:paraId="417606AA" w14:textId="77777777" w:rsidR="00DB1855" w:rsidRDefault="00DB1855"/>
    <w:sectPr w:rsidR="00DB1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5"/>
    <w:rsid w:val="002E2F5B"/>
    <w:rsid w:val="00D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EAD3"/>
  <w15:chartTrackingRefBased/>
  <w15:docId w15:val="{AAEA2EB3-E298-4F80-85E2-18B498A7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18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607772-o-caminho-estreito-de-francisco-uma-teologia-da-libertacao-sem-marxismo-entrevista-com-massimo-borghesi?fbclid=IwAR2bMSTt7xxFcXeAammAFmscqR8M7XHQyleO2pnLQxymq8_33H-scCxgUk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78-noticias/561902-methol-ferre-e-aquelas-consideracoes-latino-americanas-sobre-o-concilio-e-a-reforma-protestante" TargetMode="External"/><Relationship Id="rId5" Type="http://schemas.openxmlformats.org/officeDocument/2006/relationships/hyperlink" Target="http://www.ihu.unisinos.br/188-noticias/noticias-2018/582501-a-inquisicao-ressuscita-na-igreja-estadunidense" TargetMode="External"/><Relationship Id="rId4" Type="http://schemas.openxmlformats.org/officeDocument/2006/relationships/hyperlink" Target="http://www.ihu.unisinos.br/78-noticias/607453-oito-anos-de-pontificado-de-francisco-o-papa-da-amazon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2223</Words>
  <Characters>12232</Characters>
  <Application>Microsoft Office Word</Application>
  <DocSecurity>0</DocSecurity>
  <Lines>101</Lines>
  <Paragraphs>28</Paragraphs>
  <ScaleCrop>false</ScaleCrop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2021-03-25T11:00:00Z</dcterms:created>
  <dcterms:modified xsi:type="dcterms:W3CDTF">2021-03-25T11:03:00Z</dcterms:modified>
</cp:coreProperties>
</file>