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F40A2" w14:textId="77777777" w:rsidR="004F769C" w:rsidRPr="004F769C" w:rsidRDefault="004F769C" w:rsidP="004F769C">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F769C">
        <w:rPr>
          <w:rFonts w:ascii="Arial" w:eastAsia="Times New Roman" w:hAnsi="Arial" w:cs="Arial"/>
          <w:b/>
          <w:bCs/>
          <w:color w:val="000000"/>
          <w:sz w:val="36"/>
          <w:szCs w:val="36"/>
          <w:lang w:val="es-UY" w:eastAsia="es-UY"/>
        </w:rPr>
        <w:t>El testimonio que la Iglesia debe dar del Evangelio</w:t>
      </w:r>
    </w:p>
    <w:p w14:paraId="77DF5C6B" w14:textId="77777777" w:rsidR="004F769C" w:rsidRPr="004F769C" w:rsidRDefault="004F769C" w:rsidP="004F769C">
      <w:pPr>
        <w:shd w:val="clear" w:color="auto" w:fill="FFFFFF"/>
        <w:spacing w:after="0" w:line="240" w:lineRule="auto"/>
        <w:jc w:val="center"/>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Domingo tercero de Pascua - «B»</w:t>
      </w:r>
    </w:p>
    <w:p w14:paraId="4EE95F58" w14:textId="77777777" w:rsidR="004F769C" w:rsidRPr="004F769C" w:rsidRDefault="004F769C" w:rsidP="004F769C">
      <w:pPr>
        <w:shd w:val="clear" w:color="auto" w:fill="FFFFFF"/>
        <w:spacing w:after="0" w:line="240" w:lineRule="auto"/>
        <w:jc w:val="center"/>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69FB9127" w14:textId="77777777" w:rsidR="004F769C" w:rsidRPr="004F769C" w:rsidRDefault="004F769C" w:rsidP="004F769C">
      <w:pPr>
        <w:shd w:val="clear" w:color="auto" w:fill="FFFFFF"/>
        <w:spacing w:after="0" w:line="240" w:lineRule="auto"/>
        <w:jc w:val="right"/>
        <w:rPr>
          <w:rFonts w:ascii="Arial" w:eastAsia="Times New Roman" w:hAnsi="Arial" w:cs="Arial"/>
          <w:color w:val="222222"/>
          <w:sz w:val="24"/>
          <w:szCs w:val="24"/>
          <w:lang w:val="es-UY" w:eastAsia="es-UY"/>
        </w:rPr>
      </w:pPr>
      <w:r w:rsidRPr="004F769C">
        <w:rPr>
          <w:rFonts w:ascii="Arial" w:eastAsia="Times New Roman" w:hAnsi="Arial" w:cs="Arial"/>
          <w:i/>
          <w:iCs/>
          <w:color w:val="000000"/>
          <w:sz w:val="27"/>
          <w:szCs w:val="27"/>
          <w:lang w:val="es-UY" w:eastAsia="es-UY"/>
        </w:rPr>
        <w:t>Eduardo de la Serna</w:t>
      </w:r>
    </w:p>
    <w:p w14:paraId="72FC6B5E" w14:textId="77777777" w:rsidR="004F769C" w:rsidRPr="004F769C" w:rsidRDefault="004F769C" w:rsidP="004F769C">
      <w:pPr>
        <w:shd w:val="clear" w:color="auto" w:fill="FFFFFF"/>
        <w:spacing w:after="0" w:line="240" w:lineRule="auto"/>
        <w:jc w:val="right"/>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58AFEC0F" w14:textId="0D763358" w:rsidR="004F769C" w:rsidRPr="004F769C" w:rsidRDefault="004F769C" w:rsidP="004F769C">
      <w:pPr>
        <w:shd w:val="clear" w:color="auto" w:fill="FFFFFF"/>
        <w:spacing w:after="0" w:line="240" w:lineRule="auto"/>
        <w:jc w:val="center"/>
        <w:rPr>
          <w:rFonts w:ascii="Arial" w:eastAsia="Times New Roman" w:hAnsi="Arial" w:cs="Arial"/>
          <w:color w:val="222222"/>
          <w:sz w:val="24"/>
          <w:szCs w:val="24"/>
          <w:lang w:val="es-UY" w:eastAsia="es-UY"/>
        </w:rPr>
      </w:pPr>
      <w:r w:rsidRPr="004F769C">
        <w:drawing>
          <wp:inline distT="0" distB="0" distL="0" distR="0" wp14:anchorId="6A3524DC" wp14:editId="41D11743">
            <wp:extent cx="3048000" cy="2286000"/>
            <wp:effectExtent l="0" t="0" r="0" b="0"/>
            <wp:docPr id="1" name="Imagen 1" descr="Puente de madera en el bosqu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uente de madera en el bosque&#10;&#10;Descripción generada automáticamente con confianza media"/>
                    <pic:cNvPicPr/>
                  </pic:nvPicPr>
                  <pic:blipFill>
                    <a:blip r:embed="rId4"/>
                    <a:stretch>
                      <a:fillRect/>
                    </a:stretch>
                  </pic:blipFill>
                  <pic:spPr>
                    <a:xfrm>
                      <a:off x="0" y="0"/>
                      <a:ext cx="3048000" cy="2286000"/>
                    </a:xfrm>
                    <a:prstGeom prst="rect">
                      <a:avLst/>
                    </a:prstGeom>
                  </pic:spPr>
                </pic:pic>
              </a:graphicData>
            </a:graphic>
          </wp:inline>
        </w:drawing>
      </w:r>
    </w:p>
    <w:p w14:paraId="6FFFDF7A"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462D37F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b/>
          <w:bCs/>
          <w:color w:val="000000"/>
          <w:sz w:val="27"/>
          <w:szCs w:val="27"/>
          <w:lang w:val="es-UY" w:eastAsia="es-UY"/>
        </w:rPr>
        <w:t>Lectura de los Hechos de los Apóstoles</w:t>
      </w:r>
      <w:r w:rsidRPr="004F769C">
        <w:rPr>
          <w:rFonts w:ascii="Arial" w:eastAsia="Times New Roman" w:hAnsi="Arial" w:cs="Arial"/>
          <w:color w:val="000000"/>
          <w:sz w:val="27"/>
          <w:szCs w:val="27"/>
          <w:lang w:val="es-UY" w:eastAsia="es-UY"/>
        </w:rPr>
        <w:t>     3, 13-15. 17-19</w:t>
      </w:r>
    </w:p>
    <w:p w14:paraId="4FC8E741"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br/>
      </w:r>
      <w:r w:rsidRPr="004F769C">
        <w:rPr>
          <w:rFonts w:ascii="Arial" w:eastAsia="Times New Roman" w:hAnsi="Arial" w:cs="Arial"/>
          <w:i/>
          <w:iCs/>
          <w:color w:val="000000"/>
          <w:sz w:val="27"/>
          <w:szCs w:val="27"/>
          <w:lang w:val="es-UY" w:eastAsia="es-UY"/>
        </w:rPr>
        <w:t>Resumen: un fragmento de un discurso destaca sintéticamente el ministerio de Jesús a su auditorio y los invita a cambiar de vida y aceptar el mensaje de la resurrección y la conversión.</w:t>
      </w:r>
    </w:p>
    <w:p w14:paraId="695C915C"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br/>
        <w:t xml:space="preserve">El libro de los Hechos está lleno de “discursos”, la mayor parte de ellos explicaciones de lo que “ha sucedido”, por tanto invitaciones – partiendo de ello – a aceptar a Jesús y recibir su palabra. En el caso de la liturgia de este domingo, nos encontramos con un discurso producido a continuación de la curación de un paralítico. La liturgia omite no sólo el acontecimiento, sino la referencia a este en medio del discurso (v.16) y toda la segunda parte </w:t>
      </w:r>
      <w:proofErr w:type="gramStart"/>
      <w:r w:rsidRPr="004F769C">
        <w:rPr>
          <w:rFonts w:ascii="Arial" w:eastAsia="Times New Roman" w:hAnsi="Arial" w:cs="Arial"/>
          <w:color w:val="000000"/>
          <w:sz w:val="27"/>
          <w:szCs w:val="27"/>
          <w:lang w:val="es-UY" w:eastAsia="es-UY"/>
        </w:rPr>
        <w:t>del mismo</w:t>
      </w:r>
      <w:proofErr w:type="gramEnd"/>
      <w:r w:rsidRPr="004F769C">
        <w:rPr>
          <w:rFonts w:ascii="Arial" w:eastAsia="Times New Roman" w:hAnsi="Arial" w:cs="Arial"/>
          <w:color w:val="000000"/>
          <w:sz w:val="27"/>
          <w:szCs w:val="27"/>
          <w:lang w:val="es-UY" w:eastAsia="es-UY"/>
        </w:rPr>
        <w:t xml:space="preserve"> (vv.20-26).</w:t>
      </w:r>
    </w:p>
    <w:p w14:paraId="1F417414"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2D0EEE32"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Es interesante destacar, acá sólo lo señalaremos, que Lucas intenta con frecuencia poner en paralelo cosas (hechos o palabras) de Jesús y de la primera Iglesia, como también entre Pedro y Pablo, por ejemplo. Después de un primer milagro de Jesús, la gente se “asombra”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4,36 y 5,9) y acá – ante la curación del paralitico de nacimiento – la gente también se “asombra”; este verbo (en griego </w:t>
      </w:r>
      <w:proofErr w:type="spellStart"/>
      <w:r w:rsidRPr="004F769C">
        <w:rPr>
          <w:rFonts w:ascii="Arial" w:eastAsia="Times New Roman" w:hAnsi="Arial" w:cs="Arial"/>
          <w:i/>
          <w:iCs/>
          <w:color w:val="000000"/>
          <w:sz w:val="27"/>
          <w:szCs w:val="27"/>
          <w:lang w:val="es-UY" w:eastAsia="es-UY"/>
        </w:rPr>
        <w:t>thambô</w:t>
      </w:r>
      <w:proofErr w:type="spellEnd"/>
      <w:r w:rsidRPr="004F769C">
        <w:rPr>
          <w:rFonts w:ascii="Arial" w:eastAsia="Times New Roman" w:hAnsi="Arial" w:cs="Arial"/>
          <w:color w:val="000000"/>
          <w:sz w:val="27"/>
          <w:szCs w:val="27"/>
          <w:lang w:val="es-UY" w:eastAsia="es-UY"/>
        </w:rPr>
        <w:t>) ocurre solamente en estos dos casos en todo el NT. Por otra parte, también Pablo curará un paralítico de nacimiento (14,8), en ambos casos se usa la misma fórmula: “</w:t>
      </w:r>
      <w:r w:rsidRPr="004F769C">
        <w:rPr>
          <w:rFonts w:ascii="Arial" w:eastAsia="Times New Roman" w:hAnsi="Arial" w:cs="Arial"/>
          <w:i/>
          <w:iCs/>
          <w:color w:val="000000"/>
          <w:sz w:val="27"/>
          <w:szCs w:val="27"/>
          <w:lang w:val="es-UY" w:eastAsia="es-UY"/>
        </w:rPr>
        <w:t>paralitico desde el seno de su madre</w:t>
      </w:r>
      <w:r w:rsidRPr="004F769C">
        <w:rPr>
          <w:rFonts w:ascii="Arial" w:eastAsia="Times New Roman" w:hAnsi="Arial" w:cs="Arial"/>
          <w:color w:val="000000"/>
          <w:sz w:val="27"/>
          <w:szCs w:val="27"/>
          <w:lang w:val="es-UY" w:eastAsia="es-UY"/>
        </w:rPr>
        <w:t>” (3,2; 14,8).</w:t>
      </w:r>
    </w:p>
    <w:p w14:paraId="30D4C03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6CDEE5D4"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lastRenderedPageBreak/>
        <w:t>El discurso, en Hechos, es –como se dijo - consecuencia del milagro. El paralítico era conocido (estaba siempre en la puerta del Templo) y no sólo es visto por “</w:t>
      </w:r>
      <w:r w:rsidRPr="004F769C">
        <w:rPr>
          <w:rFonts w:ascii="Arial" w:eastAsia="Times New Roman" w:hAnsi="Arial" w:cs="Arial"/>
          <w:i/>
          <w:iCs/>
          <w:color w:val="000000"/>
          <w:sz w:val="27"/>
          <w:szCs w:val="27"/>
          <w:lang w:val="es-UY" w:eastAsia="es-UY"/>
        </w:rPr>
        <w:t>todo el pueblo</w:t>
      </w:r>
      <w:r w:rsidRPr="004F769C">
        <w:rPr>
          <w:rFonts w:ascii="Arial" w:eastAsia="Times New Roman" w:hAnsi="Arial" w:cs="Arial"/>
          <w:color w:val="000000"/>
          <w:sz w:val="27"/>
          <w:szCs w:val="27"/>
          <w:lang w:val="es-UY" w:eastAsia="es-UY"/>
        </w:rPr>
        <w:t>” (= Israel) ahora “</w:t>
      </w:r>
      <w:r w:rsidRPr="004F769C">
        <w:rPr>
          <w:rFonts w:ascii="Arial" w:eastAsia="Times New Roman" w:hAnsi="Arial" w:cs="Arial"/>
          <w:i/>
          <w:iCs/>
          <w:color w:val="000000"/>
          <w:sz w:val="27"/>
          <w:szCs w:val="27"/>
          <w:lang w:val="es-UY" w:eastAsia="es-UY"/>
        </w:rPr>
        <w:t>caminando, saltando y alabando a Dios</w:t>
      </w:r>
      <w:r w:rsidRPr="004F769C">
        <w:rPr>
          <w:rFonts w:ascii="Arial" w:eastAsia="Times New Roman" w:hAnsi="Arial" w:cs="Arial"/>
          <w:color w:val="000000"/>
          <w:sz w:val="27"/>
          <w:szCs w:val="27"/>
          <w:lang w:val="es-UY" w:eastAsia="es-UY"/>
        </w:rPr>
        <w:t>” (v.8) sino que “</w:t>
      </w:r>
      <w:r w:rsidRPr="004F769C">
        <w:rPr>
          <w:rFonts w:ascii="Arial" w:eastAsia="Times New Roman" w:hAnsi="Arial" w:cs="Arial"/>
          <w:i/>
          <w:iCs/>
          <w:color w:val="000000"/>
          <w:sz w:val="27"/>
          <w:szCs w:val="27"/>
          <w:lang w:val="es-UY" w:eastAsia="es-UY"/>
        </w:rPr>
        <w:t>no soltaba a Pedro y a Juan</w:t>
      </w:r>
      <w:r w:rsidRPr="004F769C">
        <w:rPr>
          <w:rFonts w:ascii="Arial" w:eastAsia="Times New Roman" w:hAnsi="Arial" w:cs="Arial"/>
          <w:color w:val="000000"/>
          <w:sz w:val="27"/>
          <w:szCs w:val="27"/>
          <w:lang w:val="es-UY" w:eastAsia="es-UY"/>
        </w:rPr>
        <w:t>” por lo que “</w:t>
      </w:r>
      <w:r w:rsidRPr="004F769C">
        <w:rPr>
          <w:rFonts w:ascii="Arial" w:eastAsia="Times New Roman" w:hAnsi="Arial" w:cs="Arial"/>
          <w:i/>
          <w:iCs/>
          <w:color w:val="000000"/>
          <w:sz w:val="27"/>
          <w:szCs w:val="27"/>
          <w:lang w:val="es-UY" w:eastAsia="es-UY"/>
        </w:rPr>
        <w:t>todo el pueblo</w:t>
      </w:r>
      <w:r w:rsidRPr="004F769C">
        <w:rPr>
          <w:rFonts w:ascii="Arial" w:eastAsia="Times New Roman" w:hAnsi="Arial" w:cs="Arial"/>
          <w:color w:val="000000"/>
          <w:sz w:val="27"/>
          <w:szCs w:val="27"/>
          <w:lang w:val="es-UY" w:eastAsia="es-UY"/>
        </w:rPr>
        <w:t>” corrió donde ellos “</w:t>
      </w:r>
      <w:r w:rsidRPr="004F769C">
        <w:rPr>
          <w:rFonts w:ascii="Arial" w:eastAsia="Times New Roman" w:hAnsi="Arial" w:cs="Arial"/>
          <w:i/>
          <w:iCs/>
          <w:color w:val="000000"/>
          <w:sz w:val="27"/>
          <w:szCs w:val="27"/>
          <w:lang w:val="es-UY" w:eastAsia="es-UY"/>
        </w:rPr>
        <w:t>asombrado</w:t>
      </w:r>
      <w:r w:rsidRPr="004F769C">
        <w:rPr>
          <w:rFonts w:ascii="Arial" w:eastAsia="Times New Roman" w:hAnsi="Arial" w:cs="Arial"/>
          <w:color w:val="000000"/>
          <w:sz w:val="27"/>
          <w:szCs w:val="27"/>
          <w:lang w:val="es-UY" w:eastAsia="es-UY"/>
        </w:rPr>
        <w:t>” (verbo emparentado con el </w:t>
      </w:r>
      <w:proofErr w:type="spellStart"/>
      <w:r w:rsidRPr="004F769C">
        <w:rPr>
          <w:rFonts w:ascii="Arial" w:eastAsia="Times New Roman" w:hAnsi="Arial" w:cs="Arial"/>
          <w:i/>
          <w:iCs/>
          <w:color w:val="000000"/>
          <w:sz w:val="27"/>
          <w:szCs w:val="27"/>
          <w:lang w:val="es-UY" w:eastAsia="es-UY"/>
        </w:rPr>
        <w:t>thambô</w:t>
      </w:r>
      <w:proofErr w:type="spellEnd"/>
      <w:r w:rsidRPr="004F769C">
        <w:rPr>
          <w:rFonts w:ascii="Arial" w:eastAsia="Times New Roman" w:hAnsi="Arial" w:cs="Arial"/>
          <w:color w:val="000000"/>
          <w:sz w:val="27"/>
          <w:szCs w:val="27"/>
          <w:lang w:val="es-UY" w:eastAsia="es-UY"/>
        </w:rPr>
        <w:t> recién señalado: </w:t>
      </w:r>
      <w:proofErr w:type="spellStart"/>
      <w:r w:rsidRPr="004F769C">
        <w:rPr>
          <w:rFonts w:ascii="Arial" w:eastAsia="Times New Roman" w:hAnsi="Arial" w:cs="Arial"/>
          <w:i/>
          <w:iCs/>
          <w:color w:val="000000"/>
          <w:sz w:val="27"/>
          <w:szCs w:val="27"/>
          <w:lang w:val="es-UY" w:eastAsia="es-UY"/>
        </w:rPr>
        <w:t>ekthambô</w:t>
      </w:r>
      <w:proofErr w:type="spellEnd"/>
      <w:r w:rsidRPr="004F769C">
        <w:rPr>
          <w:rFonts w:ascii="Arial" w:eastAsia="Times New Roman" w:hAnsi="Arial" w:cs="Arial"/>
          <w:color w:val="000000"/>
          <w:sz w:val="27"/>
          <w:szCs w:val="27"/>
          <w:lang w:val="es-UY" w:eastAsia="es-UY"/>
        </w:rPr>
        <w:t>). El verbo no supone un asombro que paraliza o espanta sino que por el contrario provoca interrogación (ver las citas mencionadas). Esto provoca que Pedro les dirija un discurso. Es – obviamente – a los presentes, por lo que se dirige a “</w:t>
      </w:r>
      <w:r w:rsidRPr="004F769C">
        <w:rPr>
          <w:rFonts w:ascii="Arial" w:eastAsia="Times New Roman" w:hAnsi="Arial" w:cs="Arial"/>
          <w:i/>
          <w:iCs/>
          <w:color w:val="000000"/>
          <w:sz w:val="27"/>
          <w:szCs w:val="27"/>
          <w:lang w:val="es-UY" w:eastAsia="es-UY"/>
        </w:rPr>
        <w:t>israelitas</w:t>
      </w:r>
      <w:r w:rsidRPr="004F769C">
        <w:rPr>
          <w:rFonts w:ascii="Arial" w:eastAsia="Times New Roman" w:hAnsi="Arial" w:cs="Arial"/>
          <w:color w:val="000000"/>
          <w:sz w:val="27"/>
          <w:szCs w:val="27"/>
          <w:lang w:val="es-UY" w:eastAsia="es-UY"/>
        </w:rPr>
        <w:t>” (como 2,22 y 13,16, por ejemplo). La liturgia omitirá – como dijimos – la referencia al milagro, y también el fragmento en el que Pedro invita a Israel a reconocer a Jesús con interesantes alusiones a los profetas. Quizás el criterio al elegir y fraccionar el texto fuera escoger el fragmento “</w:t>
      </w:r>
      <w:proofErr w:type="spellStart"/>
      <w:r w:rsidRPr="004F769C">
        <w:rPr>
          <w:rFonts w:ascii="Arial" w:eastAsia="Times New Roman" w:hAnsi="Arial" w:cs="Arial"/>
          <w:i/>
          <w:iCs/>
          <w:color w:val="000000"/>
          <w:sz w:val="27"/>
          <w:szCs w:val="27"/>
          <w:lang w:val="es-UY" w:eastAsia="es-UY"/>
        </w:rPr>
        <w:t>kerigmático</w:t>
      </w:r>
      <w:proofErr w:type="spellEnd"/>
      <w:r w:rsidRPr="004F769C">
        <w:rPr>
          <w:rFonts w:ascii="Arial" w:eastAsia="Times New Roman" w:hAnsi="Arial" w:cs="Arial"/>
          <w:color w:val="000000"/>
          <w:sz w:val="27"/>
          <w:szCs w:val="27"/>
          <w:lang w:val="es-UY" w:eastAsia="es-UY"/>
        </w:rPr>
        <w:t>” (que puede predicarse al auditorio contemporáneo) eliminando el sentido de Lucas que va mostrando el crecimiento de la palabra que empieza predicándose a los “</w:t>
      </w:r>
      <w:r w:rsidRPr="004F769C">
        <w:rPr>
          <w:rFonts w:ascii="Arial" w:eastAsia="Times New Roman" w:hAnsi="Arial" w:cs="Arial"/>
          <w:i/>
          <w:iCs/>
          <w:color w:val="000000"/>
          <w:sz w:val="27"/>
          <w:szCs w:val="27"/>
          <w:lang w:val="es-UY" w:eastAsia="es-UY"/>
        </w:rPr>
        <w:t>israelitas</w:t>
      </w:r>
      <w:r w:rsidRPr="004F769C">
        <w:rPr>
          <w:rFonts w:ascii="Arial" w:eastAsia="Times New Roman" w:hAnsi="Arial" w:cs="Arial"/>
          <w:color w:val="000000"/>
          <w:sz w:val="27"/>
          <w:szCs w:val="27"/>
          <w:lang w:val="es-UY" w:eastAsia="es-UY"/>
        </w:rPr>
        <w:t>”. Nos detendremos en el texto seleccionado (y recortado, empezando por el recorte de los destinatarios: “israelitas” – “todo el pueblo” – está omitido). </w:t>
      </w:r>
    </w:p>
    <w:p w14:paraId="3E23ECC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033F6464"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El “</w:t>
      </w:r>
      <w:r w:rsidRPr="004F769C">
        <w:rPr>
          <w:rFonts w:ascii="Arial" w:eastAsia="Times New Roman" w:hAnsi="Arial" w:cs="Arial"/>
          <w:i/>
          <w:iCs/>
          <w:color w:val="000000"/>
          <w:sz w:val="27"/>
          <w:szCs w:val="27"/>
          <w:lang w:val="es-UY" w:eastAsia="es-UY"/>
        </w:rPr>
        <w:t>profeta como Moisés</w:t>
      </w:r>
      <w:r w:rsidRPr="004F769C">
        <w:rPr>
          <w:rFonts w:ascii="Arial" w:eastAsia="Times New Roman" w:hAnsi="Arial" w:cs="Arial"/>
          <w:color w:val="000000"/>
          <w:sz w:val="27"/>
          <w:szCs w:val="27"/>
          <w:lang w:val="es-UY" w:eastAsia="es-UY"/>
        </w:rPr>
        <w:t>” anunciado y esperado (3,22-24) es acreditado por los milagros (como el que acaba de atestiguar “todo el pueblo”). Esto se desarrolla en el clásico esquema de estos discursos en una suerte de breve historia de los acontecimientos y la consecuente invitación a la conversión. Luego de dirigirse a los destinatarios “</w:t>
      </w:r>
      <w:r w:rsidRPr="004F769C">
        <w:rPr>
          <w:rFonts w:ascii="Arial" w:eastAsia="Times New Roman" w:hAnsi="Arial" w:cs="Arial"/>
          <w:i/>
          <w:iCs/>
          <w:color w:val="000000"/>
          <w:sz w:val="27"/>
          <w:szCs w:val="27"/>
          <w:lang w:val="es-UY" w:eastAsia="es-UY"/>
        </w:rPr>
        <w:t>admirados</w:t>
      </w:r>
      <w:r w:rsidRPr="004F769C">
        <w:rPr>
          <w:rFonts w:ascii="Arial" w:eastAsia="Times New Roman" w:hAnsi="Arial" w:cs="Arial"/>
          <w:color w:val="000000"/>
          <w:sz w:val="27"/>
          <w:szCs w:val="27"/>
          <w:lang w:val="es-UY" w:eastAsia="es-UY"/>
        </w:rPr>
        <w:t>” y que “</w:t>
      </w:r>
      <w:r w:rsidRPr="004F769C">
        <w:rPr>
          <w:rFonts w:ascii="Arial" w:eastAsia="Times New Roman" w:hAnsi="Arial" w:cs="Arial"/>
          <w:i/>
          <w:iCs/>
          <w:color w:val="000000"/>
          <w:sz w:val="27"/>
          <w:szCs w:val="27"/>
          <w:lang w:val="es-UY" w:eastAsia="es-UY"/>
        </w:rPr>
        <w:t>miran fijo</w:t>
      </w:r>
      <w:r w:rsidRPr="004F769C">
        <w:rPr>
          <w:rFonts w:ascii="Arial" w:eastAsia="Times New Roman" w:hAnsi="Arial" w:cs="Arial"/>
          <w:color w:val="000000"/>
          <w:sz w:val="27"/>
          <w:szCs w:val="27"/>
          <w:lang w:val="es-UY" w:eastAsia="es-UY"/>
        </w:rPr>
        <w:t>” (cf. 3,4). La referencia a Dios como el de Abraham, Isaac y Jacob (Ex 3,6.15) pone al auditorio en conexión con el que habla: tienen una historia común, es israelita también él; la memoria de Moisés se retomará al final del discurso.  Es posible que algunas cosas que se afirman aquí de Jesús estén atraídas por la referencia a Moisés del que también se dice en el AT. que es </w:t>
      </w:r>
      <w:r w:rsidRPr="004F769C">
        <w:rPr>
          <w:rFonts w:ascii="Arial" w:eastAsia="Times New Roman" w:hAnsi="Arial" w:cs="Arial"/>
          <w:i/>
          <w:iCs/>
          <w:color w:val="000000"/>
          <w:sz w:val="27"/>
          <w:szCs w:val="27"/>
          <w:lang w:val="es-UY" w:eastAsia="es-UY"/>
        </w:rPr>
        <w:t>siervo </w:t>
      </w:r>
      <w:r w:rsidRPr="004F769C">
        <w:rPr>
          <w:rFonts w:ascii="Arial" w:eastAsia="Times New Roman" w:hAnsi="Arial" w:cs="Arial"/>
          <w:color w:val="000000"/>
          <w:sz w:val="27"/>
          <w:szCs w:val="27"/>
          <w:lang w:val="es-UY" w:eastAsia="es-UY"/>
        </w:rPr>
        <w:t xml:space="preserve">(v.13, ver 4,26.27.30; ver Ex 14,31; </w:t>
      </w:r>
      <w:proofErr w:type="spellStart"/>
      <w:r w:rsidRPr="004F769C">
        <w:rPr>
          <w:rFonts w:ascii="Arial" w:eastAsia="Times New Roman" w:hAnsi="Arial" w:cs="Arial"/>
          <w:color w:val="000000"/>
          <w:sz w:val="27"/>
          <w:szCs w:val="27"/>
          <w:lang w:val="es-UY" w:eastAsia="es-UY"/>
        </w:rPr>
        <w:t>Nu</w:t>
      </w:r>
      <w:proofErr w:type="spellEnd"/>
      <w:r w:rsidRPr="004F769C">
        <w:rPr>
          <w:rFonts w:ascii="Arial" w:eastAsia="Times New Roman" w:hAnsi="Arial" w:cs="Arial"/>
          <w:color w:val="000000"/>
          <w:sz w:val="27"/>
          <w:szCs w:val="27"/>
          <w:lang w:val="es-UY" w:eastAsia="es-UY"/>
        </w:rPr>
        <w:t xml:space="preserve"> 12,7.8…) y </w:t>
      </w:r>
      <w:r w:rsidRPr="004F769C">
        <w:rPr>
          <w:rFonts w:ascii="Arial" w:eastAsia="Times New Roman" w:hAnsi="Arial" w:cs="Arial"/>
          <w:i/>
          <w:iCs/>
          <w:color w:val="000000"/>
          <w:sz w:val="27"/>
          <w:szCs w:val="27"/>
          <w:lang w:val="es-UY" w:eastAsia="es-UY"/>
        </w:rPr>
        <w:t>jefe </w:t>
      </w:r>
      <w:r w:rsidRPr="004F769C">
        <w:rPr>
          <w:rFonts w:ascii="Arial" w:eastAsia="Times New Roman" w:hAnsi="Arial" w:cs="Arial"/>
          <w:color w:val="000000"/>
          <w:sz w:val="27"/>
          <w:szCs w:val="27"/>
          <w:lang w:val="es-UY" w:eastAsia="es-UY"/>
        </w:rPr>
        <w:t xml:space="preserve">(v.14, 5,31; ver Ex 2,14; </w:t>
      </w:r>
      <w:proofErr w:type="spellStart"/>
      <w:r w:rsidRPr="004F769C">
        <w:rPr>
          <w:rFonts w:ascii="Arial" w:eastAsia="Times New Roman" w:hAnsi="Arial" w:cs="Arial"/>
          <w:color w:val="000000"/>
          <w:sz w:val="27"/>
          <w:szCs w:val="27"/>
          <w:lang w:val="es-UY" w:eastAsia="es-UY"/>
        </w:rPr>
        <w:t>Hch</w:t>
      </w:r>
      <w:proofErr w:type="spellEnd"/>
      <w:r w:rsidRPr="004F769C">
        <w:rPr>
          <w:rFonts w:ascii="Arial" w:eastAsia="Times New Roman" w:hAnsi="Arial" w:cs="Arial"/>
          <w:color w:val="000000"/>
          <w:sz w:val="27"/>
          <w:szCs w:val="27"/>
          <w:lang w:val="es-UY" w:eastAsia="es-UY"/>
        </w:rPr>
        <w:t xml:space="preserve"> 7,35). Este Dios ha “</w:t>
      </w:r>
      <w:r w:rsidRPr="004F769C">
        <w:rPr>
          <w:rFonts w:ascii="Arial" w:eastAsia="Times New Roman" w:hAnsi="Arial" w:cs="Arial"/>
          <w:i/>
          <w:iCs/>
          <w:color w:val="000000"/>
          <w:sz w:val="27"/>
          <w:szCs w:val="27"/>
          <w:lang w:val="es-UY" w:eastAsia="es-UY"/>
        </w:rPr>
        <w:t>glorificado</w:t>
      </w:r>
      <w:r w:rsidRPr="004F769C">
        <w:rPr>
          <w:rFonts w:ascii="Arial" w:eastAsia="Times New Roman" w:hAnsi="Arial" w:cs="Arial"/>
          <w:color w:val="000000"/>
          <w:sz w:val="27"/>
          <w:szCs w:val="27"/>
          <w:lang w:val="es-UY" w:eastAsia="es-UY"/>
        </w:rPr>
        <w:t>”, es decir, “</w:t>
      </w:r>
      <w:r w:rsidRPr="004F769C">
        <w:rPr>
          <w:rFonts w:ascii="Arial" w:eastAsia="Times New Roman" w:hAnsi="Arial" w:cs="Arial"/>
          <w:i/>
          <w:iCs/>
          <w:color w:val="000000"/>
          <w:sz w:val="27"/>
          <w:szCs w:val="27"/>
          <w:lang w:val="es-UY" w:eastAsia="es-UY"/>
        </w:rPr>
        <w:t>hecho entrar en la gloria</w:t>
      </w:r>
      <w:r w:rsidRPr="004F769C">
        <w:rPr>
          <w:rFonts w:ascii="Arial" w:eastAsia="Times New Roman" w:hAnsi="Arial" w:cs="Arial"/>
          <w:color w:val="000000"/>
          <w:sz w:val="27"/>
          <w:szCs w:val="27"/>
          <w:lang w:val="es-UY" w:eastAsia="es-UY"/>
        </w:rPr>
        <w:t xml:space="preserve">” (ver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24,26). El “</w:t>
      </w:r>
      <w:r w:rsidRPr="004F769C">
        <w:rPr>
          <w:rFonts w:ascii="Arial" w:eastAsia="Times New Roman" w:hAnsi="Arial" w:cs="Arial"/>
          <w:i/>
          <w:iCs/>
          <w:color w:val="000000"/>
          <w:sz w:val="27"/>
          <w:szCs w:val="27"/>
          <w:lang w:val="es-UY" w:eastAsia="es-UY"/>
        </w:rPr>
        <w:t>siervo</w:t>
      </w:r>
      <w:r w:rsidRPr="004F769C">
        <w:rPr>
          <w:rFonts w:ascii="Arial" w:eastAsia="Times New Roman" w:hAnsi="Arial" w:cs="Arial"/>
          <w:color w:val="000000"/>
          <w:sz w:val="27"/>
          <w:szCs w:val="27"/>
          <w:lang w:val="es-UY" w:eastAsia="es-UY"/>
        </w:rPr>
        <w:t>” es un término característico, especialmente a partir de los cantos llamados “del siervo sufriente” (</w:t>
      </w:r>
      <w:proofErr w:type="spellStart"/>
      <w:r w:rsidRPr="004F769C">
        <w:rPr>
          <w:rFonts w:ascii="Arial" w:eastAsia="Times New Roman" w:hAnsi="Arial" w:cs="Arial"/>
          <w:color w:val="000000"/>
          <w:sz w:val="27"/>
          <w:szCs w:val="27"/>
          <w:lang w:val="es-UY" w:eastAsia="es-UY"/>
        </w:rPr>
        <w:t>Is</w:t>
      </w:r>
      <w:proofErr w:type="spellEnd"/>
      <w:r w:rsidRPr="004F769C">
        <w:rPr>
          <w:rFonts w:ascii="Arial" w:eastAsia="Times New Roman" w:hAnsi="Arial" w:cs="Arial"/>
          <w:color w:val="000000"/>
          <w:sz w:val="27"/>
          <w:szCs w:val="27"/>
          <w:lang w:val="es-UY" w:eastAsia="es-UY"/>
        </w:rPr>
        <w:t xml:space="preserve"> 42,1-9; 49,1-7; 50,4-11 y 52,13-53,12). La lectura que se hace hoy de estos cantos es variada, pero es indudable que el cristianismo primitivo encontró en ellos (y luego también en varios salmos de un justo que sufre) una inspiración para dar sentido a la pasión de Jesús y al escándalo de la cruz. Es por esto </w:t>
      </w:r>
      <w:proofErr w:type="gramStart"/>
      <w:r w:rsidRPr="004F769C">
        <w:rPr>
          <w:rFonts w:ascii="Arial" w:eastAsia="Times New Roman" w:hAnsi="Arial" w:cs="Arial"/>
          <w:color w:val="000000"/>
          <w:sz w:val="27"/>
          <w:szCs w:val="27"/>
          <w:lang w:val="es-UY" w:eastAsia="es-UY"/>
        </w:rPr>
        <w:t>que</w:t>
      </w:r>
      <w:proofErr w:type="gramEnd"/>
      <w:r w:rsidRPr="004F769C">
        <w:rPr>
          <w:rFonts w:ascii="Arial" w:eastAsia="Times New Roman" w:hAnsi="Arial" w:cs="Arial"/>
          <w:color w:val="000000"/>
          <w:sz w:val="27"/>
          <w:szCs w:val="27"/>
          <w:lang w:val="es-UY" w:eastAsia="es-UY"/>
        </w:rPr>
        <w:t xml:space="preserve"> es habitual en estos discursos “</w:t>
      </w:r>
      <w:proofErr w:type="spellStart"/>
      <w:r w:rsidRPr="004F769C">
        <w:rPr>
          <w:rFonts w:ascii="Arial" w:eastAsia="Times New Roman" w:hAnsi="Arial" w:cs="Arial"/>
          <w:i/>
          <w:iCs/>
          <w:color w:val="000000"/>
          <w:sz w:val="27"/>
          <w:szCs w:val="27"/>
          <w:lang w:val="es-UY" w:eastAsia="es-UY"/>
        </w:rPr>
        <w:t>kerigmáticos</w:t>
      </w:r>
      <w:proofErr w:type="spellEnd"/>
      <w:r w:rsidRPr="004F769C">
        <w:rPr>
          <w:rFonts w:ascii="Arial" w:eastAsia="Times New Roman" w:hAnsi="Arial" w:cs="Arial"/>
          <w:color w:val="000000"/>
          <w:sz w:val="27"/>
          <w:szCs w:val="27"/>
          <w:lang w:val="es-UY" w:eastAsia="es-UY"/>
        </w:rPr>
        <w:t>” de Hechos encontrar referencias a estos textos del AT. Por otra parte, también Moisés fue con frecuencia rechazado por el pueblo, por lo que la influencia del “esperado como Moisés” sigue presente en el texto. </w:t>
      </w:r>
    </w:p>
    <w:p w14:paraId="31FAF87E"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041BBB0B"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Lo que se dice de “</w:t>
      </w:r>
      <w:r w:rsidRPr="004F769C">
        <w:rPr>
          <w:rFonts w:ascii="Arial" w:eastAsia="Times New Roman" w:hAnsi="Arial" w:cs="Arial"/>
          <w:i/>
          <w:iCs/>
          <w:color w:val="000000"/>
          <w:sz w:val="27"/>
          <w:szCs w:val="27"/>
          <w:lang w:val="es-UY" w:eastAsia="es-UY"/>
        </w:rPr>
        <w:t>ustedes</w:t>
      </w:r>
      <w:r w:rsidRPr="004F769C">
        <w:rPr>
          <w:rFonts w:ascii="Arial" w:eastAsia="Times New Roman" w:hAnsi="Arial" w:cs="Arial"/>
          <w:color w:val="000000"/>
          <w:sz w:val="27"/>
          <w:szCs w:val="27"/>
          <w:lang w:val="es-UY" w:eastAsia="es-UY"/>
        </w:rPr>
        <w:t>”, los oyentes del discurso, es que “</w:t>
      </w:r>
      <w:r w:rsidRPr="004F769C">
        <w:rPr>
          <w:rFonts w:ascii="Arial" w:eastAsia="Times New Roman" w:hAnsi="Arial" w:cs="Arial"/>
          <w:i/>
          <w:iCs/>
          <w:color w:val="000000"/>
          <w:sz w:val="27"/>
          <w:szCs w:val="27"/>
          <w:lang w:val="es-UY" w:eastAsia="es-UY"/>
        </w:rPr>
        <w:t>entregaron</w:t>
      </w:r>
      <w:r w:rsidRPr="004F769C">
        <w:rPr>
          <w:rFonts w:ascii="Arial" w:eastAsia="Times New Roman" w:hAnsi="Arial" w:cs="Arial"/>
          <w:color w:val="000000"/>
          <w:sz w:val="27"/>
          <w:szCs w:val="27"/>
          <w:lang w:val="es-UY" w:eastAsia="es-UY"/>
        </w:rPr>
        <w:t>” y “</w:t>
      </w:r>
      <w:r w:rsidRPr="004F769C">
        <w:rPr>
          <w:rFonts w:ascii="Arial" w:eastAsia="Times New Roman" w:hAnsi="Arial" w:cs="Arial"/>
          <w:i/>
          <w:iCs/>
          <w:color w:val="000000"/>
          <w:sz w:val="27"/>
          <w:szCs w:val="27"/>
          <w:lang w:val="es-UY" w:eastAsia="es-UY"/>
        </w:rPr>
        <w:t>renegaron</w:t>
      </w:r>
      <w:r w:rsidRPr="004F769C">
        <w:rPr>
          <w:rFonts w:ascii="Arial" w:eastAsia="Times New Roman" w:hAnsi="Arial" w:cs="Arial"/>
          <w:color w:val="000000"/>
          <w:sz w:val="27"/>
          <w:szCs w:val="27"/>
          <w:lang w:val="es-UY" w:eastAsia="es-UY"/>
        </w:rPr>
        <w:t xml:space="preserve">” (este verbo se repite en v.14 y en 7,35 se dice </w:t>
      </w:r>
      <w:proofErr w:type="gramStart"/>
      <w:r w:rsidRPr="004F769C">
        <w:rPr>
          <w:rFonts w:ascii="Arial" w:eastAsia="Times New Roman" w:hAnsi="Arial" w:cs="Arial"/>
          <w:color w:val="000000"/>
          <w:sz w:val="27"/>
          <w:szCs w:val="27"/>
          <w:lang w:val="es-UY" w:eastAsia="es-UY"/>
        </w:rPr>
        <w:t>de que</w:t>
      </w:r>
      <w:proofErr w:type="gramEnd"/>
      <w:r w:rsidRPr="004F769C">
        <w:rPr>
          <w:rFonts w:ascii="Arial" w:eastAsia="Times New Roman" w:hAnsi="Arial" w:cs="Arial"/>
          <w:color w:val="000000"/>
          <w:sz w:val="27"/>
          <w:szCs w:val="27"/>
          <w:lang w:val="es-UY" w:eastAsia="es-UY"/>
        </w:rPr>
        <w:t xml:space="preserve"> los israelitas “renegaron de Moisés”). Esta actitud contrasta con la de Pilato que ya había “</w:t>
      </w:r>
      <w:r w:rsidRPr="004F769C">
        <w:rPr>
          <w:rFonts w:ascii="Arial" w:eastAsia="Times New Roman" w:hAnsi="Arial" w:cs="Arial"/>
          <w:i/>
          <w:iCs/>
          <w:color w:val="000000"/>
          <w:sz w:val="27"/>
          <w:szCs w:val="27"/>
          <w:lang w:val="es-UY" w:eastAsia="es-UY"/>
        </w:rPr>
        <w:t>juzgado</w:t>
      </w:r>
      <w:r w:rsidRPr="004F769C">
        <w:rPr>
          <w:rFonts w:ascii="Arial" w:eastAsia="Times New Roman" w:hAnsi="Arial" w:cs="Arial"/>
          <w:color w:val="000000"/>
          <w:sz w:val="27"/>
          <w:szCs w:val="27"/>
          <w:lang w:val="es-UY" w:eastAsia="es-UY"/>
        </w:rPr>
        <w:t xml:space="preserve">” liberarlo (v.13; ver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23,15.20.22). Es bueno recordar – aunque no nos detendremos en ello acá – que Lucas con frecuencia intenta mostrar a los romanos, Pilato en este caso, de un modo amable para los cristianos, a fin de no parecer adversarios, quizás por ser Roma el destino de su obra y pretender ser allí bien recibido.</w:t>
      </w:r>
    </w:p>
    <w:p w14:paraId="36E34121"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4746684D"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Con nuevos títulos, califica a Jesús de “</w:t>
      </w:r>
      <w:r w:rsidRPr="004F769C">
        <w:rPr>
          <w:rFonts w:ascii="Arial" w:eastAsia="Times New Roman" w:hAnsi="Arial" w:cs="Arial"/>
          <w:i/>
          <w:iCs/>
          <w:color w:val="000000"/>
          <w:sz w:val="27"/>
          <w:szCs w:val="27"/>
          <w:lang w:val="es-UY" w:eastAsia="es-UY"/>
        </w:rPr>
        <w:t>santo</w:t>
      </w:r>
      <w:r w:rsidRPr="004F769C">
        <w:rPr>
          <w:rFonts w:ascii="Arial" w:eastAsia="Times New Roman" w:hAnsi="Arial" w:cs="Arial"/>
          <w:color w:val="000000"/>
          <w:sz w:val="27"/>
          <w:szCs w:val="27"/>
          <w:lang w:val="es-UY" w:eastAsia="es-UY"/>
        </w:rPr>
        <w:t xml:space="preserve">” (ver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4,34) y “</w:t>
      </w:r>
      <w:r w:rsidRPr="004F769C">
        <w:rPr>
          <w:rFonts w:ascii="Arial" w:eastAsia="Times New Roman" w:hAnsi="Arial" w:cs="Arial"/>
          <w:i/>
          <w:iCs/>
          <w:color w:val="000000"/>
          <w:sz w:val="27"/>
          <w:szCs w:val="27"/>
          <w:lang w:val="es-UY" w:eastAsia="es-UY"/>
        </w:rPr>
        <w:t>justo</w:t>
      </w:r>
      <w:r w:rsidRPr="004F769C">
        <w:rPr>
          <w:rFonts w:ascii="Arial" w:eastAsia="Times New Roman" w:hAnsi="Arial" w:cs="Arial"/>
          <w:color w:val="000000"/>
          <w:sz w:val="27"/>
          <w:szCs w:val="27"/>
          <w:lang w:val="es-UY" w:eastAsia="es-UY"/>
        </w:rPr>
        <w:t xml:space="preserve">” (ver 4,27.30; 7,52;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23,47, ¡el centurión!), de “</w:t>
      </w:r>
      <w:r w:rsidRPr="004F769C">
        <w:rPr>
          <w:rFonts w:ascii="Arial" w:eastAsia="Times New Roman" w:hAnsi="Arial" w:cs="Arial"/>
          <w:i/>
          <w:iCs/>
          <w:color w:val="000000"/>
          <w:sz w:val="27"/>
          <w:szCs w:val="27"/>
          <w:lang w:val="es-UY" w:eastAsia="es-UY"/>
        </w:rPr>
        <w:t>jefe de la vida</w:t>
      </w:r>
      <w:r w:rsidRPr="004F769C">
        <w:rPr>
          <w:rFonts w:ascii="Arial" w:eastAsia="Times New Roman" w:hAnsi="Arial" w:cs="Arial"/>
          <w:color w:val="000000"/>
          <w:sz w:val="27"/>
          <w:szCs w:val="27"/>
          <w:lang w:val="es-UY" w:eastAsia="es-UY"/>
        </w:rPr>
        <w:t>”, la vida es el objetivo del camino abierto por Jesús (4,2; 17,31). Es interesante el contraste con “</w:t>
      </w:r>
      <w:r w:rsidRPr="004F769C">
        <w:rPr>
          <w:rFonts w:ascii="Arial" w:eastAsia="Times New Roman" w:hAnsi="Arial" w:cs="Arial"/>
          <w:i/>
          <w:iCs/>
          <w:color w:val="000000"/>
          <w:sz w:val="27"/>
          <w:szCs w:val="27"/>
          <w:lang w:val="es-UY" w:eastAsia="es-UY"/>
        </w:rPr>
        <w:t>mataron</w:t>
      </w:r>
      <w:r w:rsidRPr="004F769C">
        <w:rPr>
          <w:rFonts w:ascii="Arial" w:eastAsia="Times New Roman" w:hAnsi="Arial" w:cs="Arial"/>
          <w:color w:val="000000"/>
          <w:sz w:val="27"/>
          <w:szCs w:val="27"/>
          <w:lang w:val="es-UY" w:eastAsia="es-UY"/>
        </w:rPr>
        <w:t>”, “</w:t>
      </w:r>
      <w:r w:rsidRPr="004F769C">
        <w:rPr>
          <w:rFonts w:ascii="Arial" w:eastAsia="Times New Roman" w:hAnsi="Arial" w:cs="Arial"/>
          <w:i/>
          <w:iCs/>
          <w:color w:val="000000"/>
          <w:sz w:val="27"/>
          <w:szCs w:val="27"/>
          <w:lang w:val="es-UY" w:eastAsia="es-UY"/>
        </w:rPr>
        <w:t>asesino</w:t>
      </w:r>
      <w:r w:rsidRPr="004F769C">
        <w:rPr>
          <w:rFonts w:ascii="Arial" w:eastAsia="Times New Roman" w:hAnsi="Arial" w:cs="Arial"/>
          <w:color w:val="000000"/>
          <w:sz w:val="27"/>
          <w:szCs w:val="27"/>
          <w:lang w:val="es-UY" w:eastAsia="es-UY"/>
        </w:rPr>
        <w:t>”. </w:t>
      </w:r>
    </w:p>
    <w:p w14:paraId="731C3F9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1DC07A1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Este momento concluye con una doble idea característica de estos discursos: “</w:t>
      </w:r>
      <w:r w:rsidRPr="004F769C">
        <w:rPr>
          <w:rFonts w:ascii="Arial" w:eastAsia="Times New Roman" w:hAnsi="Arial" w:cs="Arial"/>
          <w:i/>
          <w:iCs/>
          <w:color w:val="000000"/>
          <w:sz w:val="27"/>
          <w:szCs w:val="27"/>
          <w:lang w:val="es-UY" w:eastAsia="es-UY"/>
        </w:rPr>
        <w:t>Dios lo resucitó</w:t>
      </w:r>
      <w:r w:rsidRPr="004F769C">
        <w:rPr>
          <w:rFonts w:ascii="Arial" w:eastAsia="Times New Roman" w:hAnsi="Arial" w:cs="Arial"/>
          <w:color w:val="000000"/>
          <w:sz w:val="27"/>
          <w:szCs w:val="27"/>
          <w:lang w:val="es-UY" w:eastAsia="es-UY"/>
        </w:rPr>
        <w:t>” y “</w:t>
      </w:r>
      <w:r w:rsidRPr="004F769C">
        <w:rPr>
          <w:rFonts w:ascii="Arial" w:eastAsia="Times New Roman" w:hAnsi="Arial" w:cs="Arial"/>
          <w:i/>
          <w:iCs/>
          <w:color w:val="000000"/>
          <w:sz w:val="27"/>
          <w:szCs w:val="27"/>
          <w:lang w:val="es-UY" w:eastAsia="es-UY"/>
        </w:rPr>
        <w:t>somos testigos</w:t>
      </w:r>
      <w:r w:rsidRPr="004F769C">
        <w:rPr>
          <w:rFonts w:ascii="Arial" w:eastAsia="Times New Roman" w:hAnsi="Arial" w:cs="Arial"/>
          <w:color w:val="000000"/>
          <w:sz w:val="27"/>
          <w:szCs w:val="27"/>
          <w:lang w:val="es-UY" w:eastAsia="es-UY"/>
        </w:rPr>
        <w:t>”. El testimonio es algo propio del apostolado para Lucas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24,48; </w:t>
      </w:r>
      <w:proofErr w:type="spellStart"/>
      <w:r w:rsidRPr="004F769C">
        <w:rPr>
          <w:rFonts w:ascii="Arial" w:eastAsia="Times New Roman" w:hAnsi="Arial" w:cs="Arial"/>
          <w:color w:val="000000"/>
          <w:sz w:val="27"/>
          <w:szCs w:val="27"/>
          <w:lang w:val="es-UY" w:eastAsia="es-UY"/>
        </w:rPr>
        <w:t>Hch</w:t>
      </w:r>
      <w:proofErr w:type="spellEnd"/>
      <w:r w:rsidRPr="004F769C">
        <w:rPr>
          <w:rFonts w:ascii="Arial" w:eastAsia="Times New Roman" w:hAnsi="Arial" w:cs="Arial"/>
          <w:color w:val="000000"/>
          <w:sz w:val="27"/>
          <w:szCs w:val="27"/>
          <w:lang w:val="es-UY" w:eastAsia="es-UY"/>
        </w:rPr>
        <w:t xml:space="preserve"> 1,8; 2,32…). </w:t>
      </w:r>
      <w:proofErr w:type="gramStart"/>
      <w:r w:rsidRPr="004F769C">
        <w:rPr>
          <w:rFonts w:ascii="Arial" w:eastAsia="Times New Roman" w:hAnsi="Arial" w:cs="Arial"/>
          <w:color w:val="000000"/>
          <w:sz w:val="27"/>
          <w:szCs w:val="27"/>
          <w:lang w:val="es-UY" w:eastAsia="es-UY"/>
        </w:rPr>
        <w:t>Señalar</w:t>
      </w:r>
      <w:proofErr w:type="gramEnd"/>
      <w:r w:rsidRPr="004F769C">
        <w:rPr>
          <w:rFonts w:ascii="Arial" w:eastAsia="Times New Roman" w:hAnsi="Arial" w:cs="Arial"/>
          <w:color w:val="000000"/>
          <w:sz w:val="27"/>
          <w:szCs w:val="27"/>
          <w:lang w:val="es-UY" w:eastAsia="es-UY"/>
        </w:rPr>
        <w:t xml:space="preserve"> que Dios ha resucitado a Jesús significa dejar clara la toma de postura de Dios en este drama: ustedes lo mataron – Dios le dio la vida (2,24.32).</w:t>
      </w:r>
    </w:p>
    <w:p w14:paraId="7C18B67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5B1D0BEF"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El v.16 – omitido en la liturgia – es importante porque destaca la importancia de “</w:t>
      </w:r>
      <w:r w:rsidRPr="004F769C">
        <w:rPr>
          <w:rFonts w:ascii="Arial" w:eastAsia="Times New Roman" w:hAnsi="Arial" w:cs="Arial"/>
          <w:i/>
          <w:iCs/>
          <w:color w:val="000000"/>
          <w:sz w:val="27"/>
          <w:szCs w:val="27"/>
          <w:lang w:val="es-UY" w:eastAsia="es-UY"/>
        </w:rPr>
        <w:t>la fe en el nombre</w:t>
      </w:r>
      <w:r w:rsidRPr="004F769C">
        <w:rPr>
          <w:rFonts w:ascii="Arial" w:eastAsia="Times New Roman" w:hAnsi="Arial" w:cs="Arial"/>
          <w:color w:val="000000"/>
          <w:sz w:val="27"/>
          <w:szCs w:val="27"/>
          <w:lang w:val="es-UY" w:eastAsia="es-UY"/>
        </w:rPr>
        <w:t>” que es la que ha operado el milagro; es decir, no son ni Pedro ni Juan, sino “</w:t>
      </w:r>
      <w:r w:rsidRPr="004F769C">
        <w:rPr>
          <w:rFonts w:ascii="Arial" w:eastAsia="Times New Roman" w:hAnsi="Arial" w:cs="Arial"/>
          <w:i/>
          <w:iCs/>
          <w:color w:val="000000"/>
          <w:sz w:val="27"/>
          <w:szCs w:val="27"/>
          <w:lang w:val="es-UY" w:eastAsia="es-UY"/>
        </w:rPr>
        <w:t>el nombre de Jesús</w:t>
      </w:r>
      <w:r w:rsidRPr="004F769C">
        <w:rPr>
          <w:rFonts w:ascii="Arial" w:eastAsia="Times New Roman" w:hAnsi="Arial" w:cs="Arial"/>
          <w:color w:val="000000"/>
          <w:sz w:val="27"/>
          <w:szCs w:val="27"/>
          <w:lang w:val="es-UY" w:eastAsia="es-UY"/>
        </w:rPr>
        <w:t>”, “</w:t>
      </w:r>
      <w:r w:rsidRPr="004F769C">
        <w:rPr>
          <w:rFonts w:ascii="Arial" w:eastAsia="Times New Roman" w:hAnsi="Arial" w:cs="Arial"/>
          <w:i/>
          <w:iCs/>
          <w:color w:val="000000"/>
          <w:sz w:val="27"/>
          <w:szCs w:val="27"/>
          <w:lang w:val="es-UY" w:eastAsia="es-UY"/>
        </w:rPr>
        <w:t>ante todos</w:t>
      </w:r>
      <w:r w:rsidRPr="004F769C">
        <w:rPr>
          <w:rFonts w:ascii="Arial" w:eastAsia="Times New Roman" w:hAnsi="Arial" w:cs="Arial"/>
          <w:color w:val="000000"/>
          <w:sz w:val="27"/>
          <w:szCs w:val="27"/>
          <w:lang w:val="es-UY" w:eastAsia="es-UY"/>
        </w:rPr>
        <w:t>” ustedes.</w:t>
      </w:r>
    </w:p>
    <w:p w14:paraId="045FB0DC"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6610A403"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Con un nuevo vocativo, “</w:t>
      </w:r>
      <w:r w:rsidRPr="004F769C">
        <w:rPr>
          <w:rFonts w:ascii="Arial" w:eastAsia="Times New Roman" w:hAnsi="Arial" w:cs="Arial"/>
          <w:i/>
          <w:iCs/>
          <w:color w:val="000000"/>
          <w:sz w:val="27"/>
          <w:szCs w:val="27"/>
          <w:lang w:val="es-UY" w:eastAsia="es-UY"/>
        </w:rPr>
        <w:t>hermanos</w:t>
      </w:r>
      <w:r w:rsidRPr="004F769C">
        <w:rPr>
          <w:rFonts w:ascii="Arial" w:eastAsia="Times New Roman" w:hAnsi="Arial" w:cs="Arial"/>
          <w:color w:val="000000"/>
          <w:sz w:val="27"/>
          <w:szCs w:val="27"/>
          <w:lang w:val="es-UY" w:eastAsia="es-UY"/>
        </w:rPr>
        <w:t>”, empieza la segunda parte del discurso. Y lo que va a señalar – coherentemente con Lucas – es que el obrar fue “</w:t>
      </w:r>
      <w:r w:rsidRPr="004F769C">
        <w:rPr>
          <w:rFonts w:ascii="Arial" w:eastAsia="Times New Roman" w:hAnsi="Arial" w:cs="Arial"/>
          <w:i/>
          <w:iCs/>
          <w:color w:val="000000"/>
          <w:sz w:val="27"/>
          <w:szCs w:val="27"/>
          <w:lang w:val="es-UY" w:eastAsia="es-UY"/>
        </w:rPr>
        <w:t>por ignorancia</w:t>
      </w:r>
      <w:r w:rsidRPr="004F769C">
        <w:rPr>
          <w:rFonts w:ascii="Arial" w:eastAsia="Times New Roman" w:hAnsi="Arial" w:cs="Arial"/>
          <w:color w:val="000000"/>
          <w:sz w:val="27"/>
          <w:szCs w:val="27"/>
          <w:lang w:val="es-UY" w:eastAsia="es-UY"/>
        </w:rPr>
        <w:t>”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23,34; </w:t>
      </w:r>
      <w:proofErr w:type="spellStart"/>
      <w:r w:rsidRPr="004F769C">
        <w:rPr>
          <w:rFonts w:ascii="Arial" w:eastAsia="Times New Roman" w:hAnsi="Arial" w:cs="Arial"/>
          <w:color w:val="000000"/>
          <w:sz w:val="27"/>
          <w:szCs w:val="27"/>
          <w:lang w:val="es-UY" w:eastAsia="es-UY"/>
        </w:rPr>
        <w:t>Hch</w:t>
      </w:r>
      <w:proofErr w:type="spellEnd"/>
      <w:r w:rsidRPr="004F769C">
        <w:rPr>
          <w:rFonts w:ascii="Arial" w:eastAsia="Times New Roman" w:hAnsi="Arial" w:cs="Arial"/>
          <w:color w:val="000000"/>
          <w:sz w:val="27"/>
          <w:szCs w:val="27"/>
          <w:lang w:val="es-UY" w:eastAsia="es-UY"/>
        </w:rPr>
        <w:t xml:space="preserve"> 13,27; 17,30). Este tema es importante ya que hay una relación contrastante con las autoridades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22, 2.52-53.66; 23, 27 [distinguidos de «</w:t>
      </w:r>
      <w:r w:rsidRPr="004F769C">
        <w:rPr>
          <w:rFonts w:ascii="Arial" w:eastAsia="Times New Roman" w:hAnsi="Arial" w:cs="Arial"/>
          <w:i/>
          <w:iCs/>
          <w:color w:val="000000"/>
          <w:sz w:val="27"/>
          <w:szCs w:val="27"/>
          <w:lang w:val="es-UY" w:eastAsia="es-UY"/>
        </w:rPr>
        <w:t>ellos</w:t>
      </w:r>
      <w:r w:rsidRPr="004F769C">
        <w:rPr>
          <w:rFonts w:ascii="Arial" w:eastAsia="Times New Roman" w:hAnsi="Arial" w:cs="Arial"/>
          <w:color w:val="000000"/>
          <w:sz w:val="27"/>
          <w:szCs w:val="27"/>
          <w:lang w:val="es-UY" w:eastAsia="es-UY"/>
        </w:rPr>
        <w:t>»].48), Lucas no exime al pueblo de su responsabilidad en la pasión, pero lo muestra arrepentido y perdonado (23,48). Lo central en el relato es la relación con los “</w:t>
      </w:r>
      <w:r w:rsidRPr="004F769C">
        <w:rPr>
          <w:rFonts w:ascii="Arial" w:eastAsia="Times New Roman" w:hAnsi="Arial" w:cs="Arial"/>
          <w:i/>
          <w:iCs/>
          <w:color w:val="000000"/>
          <w:sz w:val="27"/>
          <w:szCs w:val="27"/>
          <w:lang w:val="es-UY" w:eastAsia="es-UY"/>
        </w:rPr>
        <w:t>profetas</w:t>
      </w:r>
      <w:r w:rsidRPr="004F769C">
        <w:rPr>
          <w:rFonts w:ascii="Arial" w:eastAsia="Times New Roman" w:hAnsi="Arial" w:cs="Arial"/>
          <w:color w:val="000000"/>
          <w:sz w:val="27"/>
          <w:szCs w:val="27"/>
          <w:lang w:val="es-UY" w:eastAsia="es-UY"/>
        </w:rPr>
        <w:t>” (x6 en la unidad) y su referencia al “</w:t>
      </w:r>
      <w:r w:rsidRPr="004F769C">
        <w:rPr>
          <w:rFonts w:ascii="Arial" w:eastAsia="Times New Roman" w:hAnsi="Arial" w:cs="Arial"/>
          <w:i/>
          <w:iCs/>
          <w:color w:val="000000"/>
          <w:sz w:val="27"/>
          <w:szCs w:val="27"/>
          <w:lang w:val="es-UY" w:eastAsia="es-UY"/>
        </w:rPr>
        <w:t>Siervo</w:t>
      </w:r>
      <w:r w:rsidRPr="004F769C">
        <w:rPr>
          <w:rFonts w:ascii="Arial" w:eastAsia="Times New Roman" w:hAnsi="Arial" w:cs="Arial"/>
          <w:color w:val="000000"/>
          <w:sz w:val="27"/>
          <w:szCs w:val="27"/>
          <w:lang w:val="es-UY" w:eastAsia="es-UY"/>
        </w:rPr>
        <w:t>” con el que empiezan los tiempos de “</w:t>
      </w:r>
      <w:r w:rsidRPr="004F769C">
        <w:rPr>
          <w:rFonts w:ascii="Arial" w:eastAsia="Times New Roman" w:hAnsi="Arial" w:cs="Arial"/>
          <w:i/>
          <w:iCs/>
          <w:color w:val="000000"/>
          <w:sz w:val="27"/>
          <w:szCs w:val="27"/>
          <w:lang w:val="es-UY" w:eastAsia="es-UY"/>
        </w:rPr>
        <w:t>consolación</w:t>
      </w:r>
      <w:r w:rsidRPr="004F769C">
        <w:rPr>
          <w:rFonts w:ascii="Arial" w:eastAsia="Times New Roman" w:hAnsi="Arial" w:cs="Arial"/>
          <w:color w:val="000000"/>
          <w:sz w:val="27"/>
          <w:szCs w:val="27"/>
          <w:lang w:val="es-UY" w:eastAsia="es-UY"/>
        </w:rPr>
        <w:t>” (3,20) y “</w:t>
      </w:r>
      <w:r w:rsidRPr="004F769C">
        <w:rPr>
          <w:rFonts w:ascii="Arial" w:eastAsia="Times New Roman" w:hAnsi="Arial" w:cs="Arial"/>
          <w:i/>
          <w:iCs/>
          <w:color w:val="000000"/>
          <w:sz w:val="27"/>
          <w:szCs w:val="27"/>
          <w:lang w:val="es-UY" w:eastAsia="es-UY"/>
        </w:rPr>
        <w:t>restauración</w:t>
      </w:r>
      <w:r w:rsidRPr="004F769C">
        <w:rPr>
          <w:rFonts w:ascii="Arial" w:eastAsia="Times New Roman" w:hAnsi="Arial" w:cs="Arial"/>
          <w:color w:val="000000"/>
          <w:sz w:val="27"/>
          <w:szCs w:val="27"/>
          <w:lang w:val="es-UY" w:eastAsia="es-UY"/>
        </w:rPr>
        <w:t>” (3,21) a partir de la “</w:t>
      </w:r>
      <w:r w:rsidRPr="004F769C">
        <w:rPr>
          <w:rFonts w:ascii="Arial" w:eastAsia="Times New Roman" w:hAnsi="Arial" w:cs="Arial"/>
          <w:i/>
          <w:iCs/>
          <w:color w:val="000000"/>
          <w:sz w:val="27"/>
          <w:szCs w:val="27"/>
          <w:lang w:val="es-UY" w:eastAsia="es-UY"/>
        </w:rPr>
        <w:t>conversión</w:t>
      </w:r>
      <w:r w:rsidRPr="004F769C">
        <w:rPr>
          <w:rFonts w:ascii="Arial" w:eastAsia="Times New Roman" w:hAnsi="Arial" w:cs="Arial"/>
          <w:color w:val="000000"/>
          <w:sz w:val="27"/>
          <w:szCs w:val="27"/>
          <w:lang w:val="es-UY" w:eastAsia="es-UY"/>
        </w:rPr>
        <w:t>” (v.19). La conversión es algo importante en el objetivo de la predicación del Evangelio (</w:t>
      </w:r>
      <w:proofErr w:type="spellStart"/>
      <w:r w:rsidRPr="004F769C">
        <w:rPr>
          <w:rFonts w:ascii="Arial" w:eastAsia="Times New Roman" w:hAnsi="Arial" w:cs="Arial"/>
          <w:color w:val="000000"/>
          <w:sz w:val="27"/>
          <w:szCs w:val="27"/>
          <w:lang w:val="es-UY" w:eastAsia="es-UY"/>
        </w:rPr>
        <w:t>Lc</w:t>
      </w:r>
      <w:proofErr w:type="spellEnd"/>
      <w:r w:rsidRPr="004F769C">
        <w:rPr>
          <w:rFonts w:ascii="Arial" w:eastAsia="Times New Roman" w:hAnsi="Arial" w:cs="Arial"/>
          <w:color w:val="000000"/>
          <w:sz w:val="27"/>
          <w:szCs w:val="27"/>
          <w:lang w:val="es-UY" w:eastAsia="es-UY"/>
        </w:rPr>
        <w:t xml:space="preserve"> 24,47; </w:t>
      </w:r>
      <w:proofErr w:type="spellStart"/>
      <w:r w:rsidRPr="004F769C">
        <w:rPr>
          <w:rFonts w:ascii="Arial" w:eastAsia="Times New Roman" w:hAnsi="Arial" w:cs="Arial"/>
          <w:color w:val="000000"/>
          <w:sz w:val="27"/>
          <w:szCs w:val="27"/>
          <w:lang w:val="es-UY" w:eastAsia="es-UY"/>
        </w:rPr>
        <w:t>Hch</w:t>
      </w:r>
      <w:proofErr w:type="spellEnd"/>
      <w:r w:rsidRPr="004F769C">
        <w:rPr>
          <w:rFonts w:ascii="Arial" w:eastAsia="Times New Roman" w:hAnsi="Arial" w:cs="Arial"/>
          <w:color w:val="000000"/>
          <w:sz w:val="27"/>
          <w:szCs w:val="27"/>
          <w:lang w:val="es-UY" w:eastAsia="es-UY"/>
        </w:rPr>
        <w:t xml:space="preserve"> 26,20). Esta referencia propia al kerigma de Lucas está omitida por el texto litúrgico, pero es clave en el contexto del relato (es el “</w:t>
      </w:r>
      <w:r w:rsidRPr="004F769C">
        <w:rPr>
          <w:rFonts w:ascii="Arial" w:eastAsia="Times New Roman" w:hAnsi="Arial" w:cs="Arial"/>
          <w:i/>
          <w:iCs/>
          <w:color w:val="000000"/>
          <w:sz w:val="27"/>
          <w:szCs w:val="27"/>
          <w:lang w:val="es-UY" w:eastAsia="es-UY"/>
        </w:rPr>
        <w:t>para qué</w:t>
      </w:r>
      <w:r w:rsidRPr="004F769C">
        <w:rPr>
          <w:rFonts w:ascii="Arial" w:eastAsia="Times New Roman" w:hAnsi="Arial" w:cs="Arial"/>
          <w:color w:val="000000"/>
          <w:sz w:val="27"/>
          <w:szCs w:val="27"/>
          <w:lang w:val="es-UY" w:eastAsia="es-UY"/>
        </w:rPr>
        <w:t xml:space="preserve">" de la conversión: “para que venga”). Con esto nos ubicamos en una conclusión con cierto tinte apocalíptico: Jesús – como </w:t>
      </w:r>
      <w:proofErr w:type="spellStart"/>
      <w:r w:rsidRPr="004F769C">
        <w:rPr>
          <w:rFonts w:ascii="Arial" w:eastAsia="Times New Roman" w:hAnsi="Arial" w:cs="Arial"/>
          <w:color w:val="000000"/>
          <w:sz w:val="27"/>
          <w:szCs w:val="27"/>
          <w:lang w:val="es-UY" w:eastAsia="es-UY"/>
        </w:rPr>
        <w:t>Henoc</w:t>
      </w:r>
      <w:proofErr w:type="spellEnd"/>
      <w:r w:rsidRPr="004F769C">
        <w:rPr>
          <w:rFonts w:ascii="Arial" w:eastAsia="Times New Roman" w:hAnsi="Arial" w:cs="Arial"/>
          <w:color w:val="000000"/>
          <w:sz w:val="27"/>
          <w:szCs w:val="27"/>
          <w:lang w:val="es-UY" w:eastAsia="es-UY"/>
        </w:rPr>
        <w:t>, Elías, etc. – está retenido en el cielo a la espera de la conversión de todos para luego venir y hacer llegar los tiempos del consuelo. De todos modos, esta parte final, también está omitida por la liturgia.</w:t>
      </w:r>
    </w:p>
    <w:p w14:paraId="2770FADB"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34546F63"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2641FBEA"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b/>
          <w:bCs/>
          <w:color w:val="000000"/>
          <w:sz w:val="27"/>
          <w:szCs w:val="27"/>
          <w:lang w:val="es-UY" w:eastAsia="es-UY"/>
        </w:rPr>
        <w:t>Lectura de la primera carta del apóstol san Juan</w:t>
      </w:r>
      <w:r w:rsidRPr="004F769C">
        <w:rPr>
          <w:rFonts w:ascii="Arial" w:eastAsia="Times New Roman" w:hAnsi="Arial" w:cs="Arial"/>
          <w:color w:val="000000"/>
          <w:sz w:val="27"/>
          <w:szCs w:val="27"/>
          <w:lang w:val="es-UY" w:eastAsia="es-UY"/>
        </w:rPr>
        <w:t>     2, 1-5a</w:t>
      </w:r>
    </w:p>
    <w:p w14:paraId="4C69F66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br/>
      </w:r>
      <w:r w:rsidRPr="004F769C">
        <w:rPr>
          <w:rFonts w:ascii="Arial" w:eastAsia="Times New Roman" w:hAnsi="Arial" w:cs="Arial"/>
          <w:i/>
          <w:iCs/>
          <w:color w:val="000000"/>
          <w:sz w:val="27"/>
          <w:szCs w:val="27"/>
          <w:lang w:val="es-UY" w:eastAsia="es-UY"/>
        </w:rPr>
        <w:t>Resumen: dirigida conflictivamente a miembros de la comunidad que están teniendo actitudes contrarias a la predicación del Evangelio, el autor de la carta invita a tener actitudes semejantes a las de Cristo – que da la vida por sus amigos – ya que en ellas se “conocerá” verdaderamente la fidelidad.</w:t>
      </w:r>
    </w:p>
    <w:p w14:paraId="181EC8AE"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700566F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 xml:space="preserve">La carta de Juan se escribe en un contexto ciertamente polémico, y –particularmente – de un serio conflicto </w:t>
      </w:r>
      <w:proofErr w:type="spellStart"/>
      <w:r w:rsidRPr="004F769C">
        <w:rPr>
          <w:rFonts w:ascii="Arial" w:eastAsia="Times New Roman" w:hAnsi="Arial" w:cs="Arial"/>
          <w:color w:val="000000"/>
          <w:sz w:val="27"/>
          <w:szCs w:val="27"/>
          <w:lang w:val="es-UY" w:eastAsia="es-UY"/>
        </w:rPr>
        <w:t>intra-comunitario</w:t>
      </w:r>
      <w:proofErr w:type="spellEnd"/>
      <w:r w:rsidRPr="004F769C">
        <w:rPr>
          <w:rFonts w:ascii="Arial" w:eastAsia="Times New Roman" w:hAnsi="Arial" w:cs="Arial"/>
          <w:color w:val="000000"/>
          <w:sz w:val="27"/>
          <w:szCs w:val="27"/>
          <w:lang w:val="es-UY" w:eastAsia="es-UY"/>
        </w:rPr>
        <w:t>. Los frecuentes “</w:t>
      </w:r>
      <w:r w:rsidRPr="004F769C">
        <w:rPr>
          <w:rFonts w:ascii="Arial" w:eastAsia="Times New Roman" w:hAnsi="Arial" w:cs="Arial"/>
          <w:i/>
          <w:iCs/>
          <w:color w:val="000000"/>
          <w:sz w:val="27"/>
          <w:szCs w:val="27"/>
          <w:lang w:val="es-UY" w:eastAsia="es-UY"/>
        </w:rPr>
        <w:t>si alguien dice</w:t>
      </w:r>
      <w:r w:rsidRPr="004F769C">
        <w:rPr>
          <w:rFonts w:ascii="Arial" w:eastAsia="Times New Roman" w:hAnsi="Arial" w:cs="Arial"/>
          <w:color w:val="000000"/>
          <w:sz w:val="27"/>
          <w:szCs w:val="27"/>
          <w:lang w:val="es-UY" w:eastAsia="es-UY"/>
        </w:rPr>
        <w:t>”, o semejantes son claro indicio de que alguien lo decía (o hacía) y frente a eso – y contra esos tales – se escribe la carta; para alertar a la/s comunidad/es a no seguir sus palabras y ejemplos (el “</w:t>
      </w:r>
      <w:r w:rsidRPr="004F769C">
        <w:rPr>
          <w:rFonts w:ascii="Arial" w:eastAsia="Times New Roman" w:hAnsi="Arial" w:cs="Arial"/>
          <w:i/>
          <w:iCs/>
          <w:color w:val="000000"/>
          <w:sz w:val="27"/>
          <w:szCs w:val="27"/>
          <w:lang w:val="es-UY" w:eastAsia="es-UY"/>
        </w:rPr>
        <w:t>si</w:t>
      </w:r>
      <w:r w:rsidRPr="004F769C">
        <w:rPr>
          <w:rFonts w:ascii="Arial" w:eastAsia="Times New Roman" w:hAnsi="Arial" w:cs="Arial"/>
          <w:color w:val="000000"/>
          <w:sz w:val="27"/>
          <w:szCs w:val="27"/>
          <w:lang w:val="es-UY" w:eastAsia="es-UY"/>
        </w:rPr>
        <w:t>” [</w:t>
      </w:r>
      <w:proofErr w:type="spellStart"/>
      <w:r w:rsidRPr="004F769C">
        <w:rPr>
          <w:rFonts w:ascii="Arial" w:eastAsia="Times New Roman" w:hAnsi="Arial" w:cs="Arial"/>
          <w:i/>
          <w:iCs/>
          <w:color w:val="000000"/>
          <w:sz w:val="27"/>
          <w:szCs w:val="27"/>
          <w:lang w:val="es-UY" w:eastAsia="es-UY"/>
        </w:rPr>
        <w:t>eàn</w:t>
      </w:r>
      <w:proofErr w:type="spellEnd"/>
      <w:r w:rsidRPr="004F769C">
        <w:rPr>
          <w:rFonts w:ascii="Arial" w:eastAsia="Times New Roman" w:hAnsi="Arial" w:cs="Arial"/>
          <w:color w:val="000000"/>
          <w:sz w:val="27"/>
          <w:szCs w:val="27"/>
          <w:lang w:val="es-UY" w:eastAsia="es-UY"/>
        </w:rPr>
        <w:t>] "alguien"... se encuentra x22 en la carta). La situación parece que se seguirá agravando (como se ve en las cartas 2ª y 3ª) hasta finalmente llegar a la ruptura. </w:t>
      </w:r>
    </w:p>
    <w:p w14:paraId="1A4C14EF"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73CBCA65"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En este caso, la unidad comienza con un vocativo (“</w:t>
      </w:r>
      <w:r w:rsidRPr="004F769C">
        <w:rPr>
          <w:rFonts w:ascii="Arial" w:eastAsia="Times New Roman" w:hAnsi="Arial" w:cs="Arial"/>
          <w:i/>
          <w:iCs/>
          <w:color w:val="000000"/>
          <w:sz w:val="27"/>
          <w:szCs w:val="27"/>
          <w:lang w:val="es-UY" w:eastAsia="es-UY"/>
        </w:rPr>
        <w:t>hijos míos</w:t>
      </w:r>
      <w:r w:rsidRPr="004F769C">
        <w:rPr>
          <w:rFonts w:ascii="Arial" w:eastAsia="Times New Roman" w:hAnsi="Arial" w:cs="Arial"/>
          <w:color w:val="000000"/>
          <w:sz w:val="27"/>
          <w:szCs w:val="27"/>
          <w:lang w:val="es-UY" w:eastAsia="es-UY"/>
        </w:rPr>
        <w:t>”) y finaliza en v.6 ya que en v.7 hay un nuevo vocativo (“</w:t>
      </w:r>
      <w:r w:rsidRPr="004F769C">
        <w:rPr>
          <w:rFonts w:ascii="Arial" w:eastAsia="Times New Roman" w:hAnsi="Arial" w:cs="Arial"/>
          <w:i/>
          <w:iCs/>
          <w:color w:val="000000"/>
          <w:sz w:val="27"/>
          <w:szCs w:val="27"/>
          <w:lang w:val="es-UY" w:eastAsia="es-UY"/>
        </w:rPr>
        <w:t>queridos</w:t>
      </w:r>
      <w:r w:rsidRPr="004F769C">
        <w:rPr>
          <w:rFonts w:ascii="Arial" w:eastAsia="Times New Roman" w:hAnsi="Arial" w:cs="Arial"/>
          <w:color w:val="000000"/>
          <w:sz w:val="27"/>
          <w:szCs w:val="27"/>
          <w:lang w:val="es-UY" w:eastAsia="es-UY"/>
        </w:rPr>
        <w:t>”), aunque el último párrafo del v.5 y el v.6 estén omitidos del texto litúrgico. La referencia a que el autor “</w:t>
      </w:r>
      <w:r w:rsidRPr="004F769C">
        <w:rPr>
          <w:rFonts w:ascii="Arial" w:eastAsia="Times New Roman" w:hAnsi="Arial" w:cs="Arial"/>
          <w:i/>
          <w:iCs/>
          <w:color w:val="000000"/>
          <w:sz w:val="27"/>
          <w:szCs w:val="27"/>
          <w:lang w:val="es-UY" w:eastAsia="es-UY"/>
        </w:rPr>
        <w:t>les escribe</w:t>
      </w:r>
      <w:r w:rsidRPr="004F769C">
        <w:rPr>
          <w:rFonts w:ascii="Arial" w:eastAsia="Times New Roman" w:hAnsi="Arial" w:cs="Arial"/>
          <w:color w:val="000000"/>
          <w:sz w:val="27"/>
          <w:szCs w:val="27"/>
          <w:lang w:val="es-UY" w:eastAsia="es-UY"/>
        </w:rPr>
        <w:t>” también las encontramos en vv.1 y 7 mostrando un nuevo comienzo. Un aspecto importante en toda la carta es que el autor intenta mostrar la veracidad de sus dichos, para lo que recurre a la fórmula “</w:t>
      </w:r>
      <w:r w:rsidRPr="004F769C">
        <w:rPr>
          <w:rFonts w:ascii="Arial" w:eastAsia="Times New Roman" w:hAnsi="Arial" w:cs="Arial"/>
          <w:i/>
          <w:iCs/>
          <w:color w:val="000000"/>
          <w:sz w:val="27"/>
          <w:szCs w:val="27"/>
          <w:lang w:val="es-UY" w:eastAsia="es-UY"/>
        </w:rPr>
        <w:t>en esto</w:t>
      </w:r>
      <w:r w:rsidRPr="004F769C">
        <w:rPr>
          <w:rFonts w:ascii="Arial" w:eastAsia="Times New Roman" w:hAnsi="Arial" w:cs="Arial"/>
          <w:color w:val="000000"/>
          <w:sz w:val="27"/>
          <w:szCs w:val="27"/>
          <w:lang w:val="es-UY" w:eastAsia="es-UY"/>
        </w:rPr>
        <w:t>” (</w:t>
      </w:r>
      <w:r w:rsidRPr="004F769C">
        <w:rPr>
          <w:rFonts w:ascii="Arial" w:eastAsia="Times New Roman" w:hAnsi="Arial" w:cs="Arial"/>
          <w:i/>
          <w:iCs/>
          <w:color w:val="000000"/>
          <w:sz w:val="27"/>
          <w:szCs w:val="27"/>
          <w:lang w:val="es-UY" w:eastAsia="es-UY"/>
        </w:rPr>
        <w:t xml:space="preserve">en </w:t>
      </w:r>
      <w:proofErr w:type="spellStart"/>
      <w:r w:rsidRPr="004F769C">
        <w:rPr>
          <w:rFonts w:ascii="Arial" w:eastAsia="Times New Roman" w:hAnsi="Arial" w:cs="Arial"/>
          <w:i/>
          <w:iCs/>
          <w:color w:val="000000"/>
          <w:sz w:val="27"/>
          <w:szCs w:val="27"/>
          <w:lang w:val="es-UY" w:eastAsia="es-UY"/>
        </w:rPr>
        <w:t>toutô</w:t>
      </w:r>
      <w:proofErr w:type="spellEnd"/>
      <w:r w:rsidRPr="004F769C">
        <w:rPr>
          <w:rFonts w:ascii="Arial" w:eastAsia="Times New Roman" w:hAnsi="Arial" w:cs="Arial"/>
          <w:color w:val="000000"/>
          <w:sz w:val="27"/>
          <w:szCs w:val="27"/>
          <w:lang w:val="es-UY" w:eastAsia="es-UY"/>
        </w:rPr>
        <w:t>; la Biblia de Nuestro Pueblo traduce “la señal de que…”) (x13); en este párrafo lo encontramos 3 veces (vv.3.4.5). </w:t>
      </w:r>
    </w:p>
    <w:p w14:paraId="6C208005"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35DC3F6C"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El texto comienza luego de una breve unidad (1,8-10) donde parece que hay quienes afirman no tener pecado, a lo que el autor les repite que no es verdad, que nos engañamos y que hasta tratamos de mentiroso a Dios. Con este tema de trasfondo, comienza el relato. Ciertamente no pretende invitar a pecar, pero puesto que el pecado es una realidad, el autor considera que el arma más eficaz ante esto no es la represión o la violencia sino el reconocimiento de la propia realidad pecadora y la confianza en el obrar eficaz de Jesús. </w:t>
      </w:r>
    </w:p>
    <w:p w14:paraId="5D79D299"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2591128C"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Jesús es presentado como “</w:t>
      </w:r>
      <w:r w:rsidRPr="004F769C">
        <w:rPr>
          <w:rFonts w:ascii="Arial" w:eastAsia="Times New Roman" w:hAnsi="Arial" w:cs="Arial"/>
          <w:i/>
          <w:iCs/>
          <w:color w:val="000000"/>
          <w:sz w:val="27"/>
          <w:szCs w:val="27"/>
          <w:lang w:val="es-UY" w:eastAsia="es-UY"/>
        </w:rPr>
        <w:t>propiciación</w:t>
      </w:r>
      <w:r w:rsidRPr="004F769C">
        <w:rPr>
          <w:rFonts w:ascii="Arial" w:eastAsia="Times New Roman" w:hAnsi="Arial" w:cs="Arial"/>
          <w:color w:val="000000"/>
          <w:sz w:val="27"/>
          <w:szCs w:val="27"/>
          <w:lang w:val="es-UY" w:eastAsia="es-UY"/>
        </w:rPr>
        <w:t>” (el texto no dice “víctima”), la muerte de Jesús es “propicia” para nuestra realidad pecadora ya que anula la fuerza del pecado y expía sus efectos.  Es para esto que Jesús es el “</w:t>
      </w:r>
      <w:r w:rsidRPr="004F769C">
        <w:rPr>
          <w:rFonts w:ascii="Arial" w:eastAsia="Times New Roman" w:hAnsi="Arial" w:cs="Arial"/>
          <w:i/>
          <w:iCs/>
          <w:color w:val="000000"/>
          <w:sz w:val="27"/>
          <w:szCs w:val="27"/>
          <w:lang w:val="es-UY" w:eastAsia="es-UY"/>
        </w:rPr>
        <w:t>paráclito</w:t>
      </w:r>
      <w:r w:rsidRPr="004F769C">
        <w:rPr>
          <w:rFonts w:ascii="Arial" w:eastAsia="Times New Roman" w:hAnsi="Arial" w:cs="Arial"/>
          <w:color w:val="000000"/>
          <w:sz w:val="27"/>
          <w:szCs w:val="27"/>
          <w:lang w:val="es-UY" w:eastAsia="es-UY"/>
        </w:rPr>
        <w:t>” (v.1), el que aboga, el que habla en nuestro favor y en nuestro lugar ante el Padre. Es interesante que este rol de “abogar / hablar por” en el Evangelio de Juan lo cumplirá el Espíritu Santo que es presentado como “otro paráclito” (14,16). Y lo es, no sólo por “nuestros pecados” sino por los del “mundo entero” (v.2). </w:t>
      </w:r>
    </w:p>
    <w:p w14:paraId="49814BF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004C2B09"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A partir del v.3 abandona la introducción cristológica para adentrarse en el conocimiento de Jesús. Es sabido que “</w:t>
      </w:r>
      <w:r w:rsidRPr="004F769C">
        <w:rPr>
          <w:rFonts w:ascii="Arial" w:eastAsia="Times New Roman" w:hAnsi="Arial" w:cs="Arial"/>
          <w:i/>
          <w:iCs/>
          <w:color w:val="000000"/>
          <w:sz w:val="27"/>
          <w:szCs w:val="27"/>
          <w:lang w:val="es-UY" w:eastAsia="es-UY"/>
        </w:rPr>
        <w:t>conocer</w:t>
      </w:r>
      <w:r w:rsidRPr="004F769C">
        <w:rPr>
          <w:rFonts w:ascii="Arial" w:eastAsia="Times New Roman" w:hAnsi="Arial" w:cs="Arial"/>
          <w:color w:val="000000"/>
          <w:sz w:val="27"/>
          <w:szCs w:val="27"/>
          <w:lang w:val="es-UY" w:eastAsia="es-UY"/>
        </w:rPr>
        <w:t>” en el lenguaje bíblico indica algo que excede lo intelectual. Denota una experiencia profunda de encuentro con el/la otro/a (tanto que puede incluir lo sexual, como se sabe). Puesto que el conocimiento es de Dios o de Jesús, esto nos pone en el ámbito de la fe lo cual supone una conducta acorde. Esta conducta, entonces, puede ser vista como un indicio (“signo”) de esa fe, de ese “</w:t>
      </w:r>
      <w:r w:rsidRPr="004F769C">
        <w:rPr>
          <w:rFonts w:ascii="Arial" w:eastAsia="Times New Roman" w:hAnsi="Arial" w:cs="Arial"/>
          <w:i/>
          <w:iCs/>
          <w:color w:val="000000"/>
          <w:sz w:val="27"/>
          <w:szCs w:val="27"/>
          <w:lang w:val="es-UY" w:eastAsia="es-UY"/>
        </w:rPr>
        <w:t>conocimiento</w:t>
      </w:r>
      <w:r w:rsidRPr="004F769C">
        <w:rPr>
          <w:rFonts w:ascii="Arial" w:eastAsia="Times New Roman" w:hAnsi="Arial" w:cs="Arial"/>
          <w:color w:val="000000"/>
          <w:sz w:val="27"/>
          <w:szCs w:val="27"/>
          <w:lang w:val="es-UY" w:eastAsia="es-UY"/>
        </w:rPr>
        <w:t>”; esto se expresa en “</w:t>
      </w:r>
      <w:r w:rsidRPr="004F769C">
        <w:rPr>
          <w:rFonts w:ascii="Arial" w:eastAsia="Times New Roman" w:hAnsi="Arial" w:cs="Arial"/>
          <w:i/>
          <w:iCs/>
          <w:color w:val="000000"/>
          <w:sz w:val="27"/>
          <w:szCs w:val="27"/>
          <w:lang w:val="es-UY" w:eastAsia="es-UY"/>
        </w:rPr>
        <w:t>guardar sus mandamientos</w:t>
      </w:r>
      <w:r w:rsidRPr="004F769C">
        <w:rPr>
          <w:rFonts w:ascii="Arial" w:eastAsia="Times New Roman" w:hAnsi="Arial" w:cs="Arial"/>
          <w:color w:val="000000"/>
          <w:sz w:val="27"/>
          <w:szCs w:val="27"/>
          <w:lang w:val="es-UY" w:eastAsia="es-UY"/>
        </w:rPr>
        <w:t>” (v.4), “</w:t>
      </w:r>
      <w:r w:rsidRPr="004F769C">
        <w:rPr>
          <w:rFonts w:ascii="Arial" w:eastAsia="Times New Roman" w:hAnsi="Arial" w:cs="Arial"/>
          <w:i/>
          <w:iCs/>
          <w:color w:val="000000"/>
          <w:sz w:val="27"/>
          <w:szCs w:val="27"/>
          <w:lang w:val="es-UY" w:eastAsia="es-UY"/>
        </w:rPr>
        <w:t>su palabra</w:t>
      </w:r>
      <w:r w:rsidRPr="004F769C">
        <w:rPr>
          <w:rFonts w:ascii="Arial" w:eastAsia="Times New Roman" w:hAnsi="Arial" w:cs="Arial"/>
          <w:color w:val="000000"/>
          <w:sz w:val="27"/>
          <w:szCs w:val="27"/>
          <w:lang w:val="es-UY" w:eastAsia="es-UY"/>
        </w:rPr>
        <w:t>” (v.5). El verbo “</w:t>
      </w:r>
      <w:r w:rsidRPr="004F769C">
        <w:rPr>
          <w:rFonts w:ascii="Arial" w:eastAsia="Times New Roman" w:hAnsi="Arial" w:cs="Arial"/>
          <w:i/>
          <w:iCs/>
          <w:color w:val="000000"/>
          <w:sz w:val="27"/>
          <w:szCs w:val="27"/>
          <w:lang w:val="es-UY" w:eastAsia="es-UY"/>
        </w:rPr>
        <w:t>guardar</w:t>
      </w:r>
      <w:r w:rsidRPr="004F769C">
        <w:rPr>
          <w:rFonts w:ascii="Arial" w:eastAsia="Times New Roman" w:hAnsi="Arial" w:cs="Arial"/>
          <w:color w:val="000000"/>
          <w:sz w:val="27"/>
          <w:szCs w:val="27"/>
          <w:lang w:val="es-UY" w:eastAsia="es-UY"/>
        </w:rPr>
        <w:t xml:space="preserve">” (custodiar, observar, prestar atención), en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alude a las palabras y/o mandamientos (2,3.4.5; 3,22.24) salvo en 5,8 donde el que “ha nacido de Dios” es “guardado” por aquel “engendrado de Dios”. La relación está dada entre el conocimiento de Jesús y “guardar” sus mandamientos / palabra. Quien dijera (por tanto, alguien en la comunidad lo hace) que conoce a Jesús pero no sigue sus mandamientos, ese tal es un “</w:t>
      </w:r>
      <w:r w:rsidRPr="004F769C">
        <w:rPr>
          <w:rFonts w:ascii="Arial" w:eastAsia="Times New Roman" w:hAnsi="Arial" w:cs="Arial"/>
          <w:i/>
          <w:iCs/>
          <w:color w:val="000000"/>
          <w:sz w:val="27"/>
          <w:szCs w:val="27"/>
          <w:lang w:val="es-UY" w:eastAsia="es-UY"/>
        </w:rPr>
        <w:t>mentiroso</w:t>
      </w:r>
      <w:r w:rsidRPr="004F769C">
        <w:rPr>
          <w:rFonts w:ascii="Arial" w:eastAsia="Times New Roman" w:hAnsi="Arial" w:cs="Arial"/>
          <w:color w:val="000000"/>
          <w:sz w:val="27"/>
          <w:szCs w:val="27"/>
          <w:lang w:val="es-UY" w:eastAsia="es-UY"/>
        </w:rPr>
        <w:t xml:space="preserve">” (x5 en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1,10; 2,4.22; 4,20; 5,10), ver 1,6.8. </w:t>
      </w:r>
    </w:p>
    <w:p w14:paraId="051BA5C1"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10B29A69"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 xml:space="preserve">Es importante señalar no solo la relación entre mandamiento y palabra en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sino que el “</w:t>
      </w:r>
      <w:r w:rsidRPr="004F769C">
        <w:rPr>
          <w:rFonts w:ascii="Arial" w:eastAsia="Times New Roman" w:hAnsi="Arial" w:cs="Arial"/>
          <w:i/>
          <w:iCs/>
          <w:color w:val="000000"/>
          <w:sz w:val="27"/>
          <w:szCs w:val="27"/>
          <w:lang w:val="es-UY" w:eastAsia="es-UY"/>
        </w:rPr>
        <w:t>mandamiento</w:t>
      </w:r>
      <w:r w:rsidRPr="004F769C">
        <w:rPr>
          <w:rFonts w:ascii="Arial" w:eastAsia="Times New Roman" w:hAnsi="Arial" w:cs="Arial"/>
          <w:color w:val="000000"/>
          <w:sz w:val="27"/>
          <w:szCs w:val="27"/>
          <w:lang w:val="es-UY" w:eastAsia="es-UY"/>
        </w:rPr>
        <w:t xml:space="preserve">”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2,3,4,7 [x3],8; 3,22.23 [x2].24; 4,21; 5,2.3 [x2]; 2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4.5.6 [x2]) no parece referirse a los “diez mandamientos” sino al mandamiento que la comunidad tiene desde los orígenes (desde su gestación como comunidad, es decir “</w:t>
      </w:r>
      <w:r w:rsidRPr="004F769C">
        <w:rPr>
          <w:rFonts w:ascii="Arial" w:eastAsia="Times New Roman" w:hAnsi="Arial" w:cs="Arial"/>
          <w:i/>
          <w:iCs/>
          <w:color w:val="000000"/>
          <w:sz w:val="27"/>
          <w:szCs w:val="27"/>
          <w:lang w:val="es-UY" w:eastAsia="es-UY"/>
        </w:rPr>
        <w:t>este es mi mandamiento: que se amen unos a otros</w:t>
      </w:r>
      <w:r w:rsidRPr="004F769C">
        <w:rPr>
          <w:rFonts w:ascii="Arial" w:eastAsia="Times New Roman" w:hAnsi="Arial" w:cs="Arial"/>
          <w:color w:val="000000"/>
          <w:sz w:val="27"/>
          <w:szCs w:val="27"/>
          <w:lang w:val="es-UY" w:eastAsia="es-UY"/>
        </w:rPr>
        <w:t>”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13,34; 15,7.10.12). Todo indica que el problema radica en que muchos en la comunidad hablan del “amor a Dios” pero descuidan el "amor al hermano", y ante esto se siente impelido a escribir el autor. Ese tal es un mentiroso (porque no se puede amar a Dios a quien no se ve, si no se ama al hermano, al cual se ve”, 4,20). </w:t>
      </w:r>
    </w:p>
    <w:p w14:paraId="2EDA5FF6"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0AA01B4D"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La idea de que “</w:t>
      </w:r>
      <w:r w:rsidRPr="004F769C">
        <w:rPr>
          <w:rFonts w:ascii="Arial" w:eastAsia="Times New Roman" w:hAnsi="Arial" w:cs="Arial"/>
          <w:i/>
          <w:iCs/>
          <w:color w:val="000000"/>
          <w:sz w:val="27"/>
          <w:szCs w:val="27"/>
          <w:lang w:val="es-UY" w:eastAsia="es-UY"/>
        </w:rPr>
        <w:t>el amor de Dios</w:t>
      </w:r>
      <w:r w:rsidRPr="004F769C">
        <w:rPr>
          <w:rFonts w:ascii="Arial" w:eastAsia="Times New Roman" w:hAnsi="Arial" w:cs="Arial"/>
          <w:color w:val="000000"/>
          <w:sz w:val="27"/>
          <w:szCs w:val="27"/>
          <w:lang w:val="es-UY" w:eastAsia="es-UY"/>
        </w:rPr>
        <w:t xml:space="preserve">” ha llegado a plenitud es, literariamente, ambigua y puede significar tanto el amor por Dios como el amor que Dios tiene por la humanidad. Sin embargo, la constante iniciativa del amor de Dios en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invita a esta segunda lectura (4,8.10.12.16.20; 5,2.3). No es el amor “</w:t>
      </w:r>
      <w:r w:rsidRPr="004F769C">
        <w:rPr>
          <w:rFonts w:ascii="Arial" w:eastAsia="Times New Roman" w:hAnsi="Arial" w:cs="Arial"/>
          <w:i/>
          <w:iCs/>
          <w:color w:val="000000"/>
          <w:sz w:val="27"/>
          <w:szCs w:val="27"/>
          <w:lang w:val="es-UY" w:eastAsia="es-UY"/>
        </w:rPr>
        <w:t>a</w:t>
      </w:r>
      <w:r w:rsidRPr="004F769C">
        <w:rPr>
          <w:rFonts w:ascii="Arial" w:eastAsia="Times New Roman" w:hAnsi="Arial" w:cs="Arial"/>
          <w:color w:val="000000"/>
          <w:sz w:val="27"/>
          <w:szCs w:val="27"/>
          <w:lang w:val="es-UY" w:eastAsia="es-UY"/>
        </w:rPr>
        <w:t>” Dios lo que importa en este punto, sino el amor “</w:t>
      </w:r>
      <w:r w:rsidRPr="004F769C">
        <w:rPr>
          <w:rFonts w:ascii="Arial" w:eastAsia="Times New Roman" w:hAnsi="Arial" w:cs="Arial"/>
          <w:i/>
          <w:iCs/>
          <w:color w:val="000000"/>
          <w:sz w:val="27"/>
          <w:szCs w:val="27"/>
          <w:lang w:val="es-UY" w:eastAsia="es-UY"/>
        </w:rPr>
        <w:t>que</w:t>
      </w:r>
      <w:r w:rsidRPr="004F769C">
        <w:rPr>
          <w:rFonts w:ascii="Arial" w:eastAsia="Times New Roman" w:hAnsi="Arial" w:cs="Arial"/>
          <w:color w:val="000000"/>
          <w:sz w:val="27"/>
          <w:szCs w:val="27"/>
          <w:lang w:val="es-UY" w:eastAsia="es-UY"/>
        </w:rPr>
        <w:t>” Dios nos tiene, y que provoca nuestro amor mutuo. </w:t>
      </w:r>
    </w:p>
    <w:p w14:paraId="3B441A46"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3EB0C19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7"/>
          <w:szCs w:val="27"/>
          <w:lang w:val="es-UY" w:eastAsia="es-UY"/>
        </w:rPr>
        <w:t>El que dice “</w:t>
      </w:r>
      <w:r w:rsidRPr="004F769C">
        <w:rPr>
          <w:rFonts w:ascii="Arial" w:eastAsia="Times New Roman" w:hAnsi="Arial" w:cs="Arial"/>
          <w:i/>
          <w:iCs/>
          <w:color w:val="000000"/>
          <w:sz w:val="27"/>
          <w:szCs w:val="27"/>
          <w:lang w:val="es-UY" w:eastAsia="es-UY"/>
        </w:rPr>
        <w:t>que permanece en él, debe caminar como él caminó</w:t>
      </w:r>
      <w:r w:rsidRPr="004F769C">
        <w:rPr>
          <w:rFonts w:ascii="Arial" w:eastAsia="Times New Roman" w:hAnsi="Arial" w:cs="Arial"/>
          <w:color w:val="000000"/>
          <w:sz w:val="27"/>
          <w:szCs w:val="27"/>
          <w:lang w:val="es-UY" w:eastAsia="es-UY"/>
        </w:rPr>
        <w:t xml:space="preserve">” remite a un tema característico de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como es el verbo “</w:t>
      </w:r>
      <w:r w:rsidRPr="004F769C">
        <w:rPr>
          <w:rFonts w:ascii="Arial" w:eastAsia="Times New Roman" w:hAnsi="Arial" w:cs="Arial"/>
          <w:i/>
          <w:iCs/>
          <w:color w:val="000000"/>
          <w:sz w:val="27"/>
          <w:szCs w:val="27"/>
          <w:lang w:val="es-UY" w:eastAsia="es-UY"/>
        </w:rPr>
        <w:t>permanecer</w:t>
      </w:r>
      <w:r w:rsidRPr="004F769C">
        <w:rPr>
          <w:rFonts w:ascii="Arial" w:eastAsia="Times New Roman" w:hAnsi="Arial" w:cs="Arial"/>
          <w:color w:val="000000"/>
          <w:sz w:val="27"/>
          <w:szCs w:val="27"/>
          <w:lang w:val="es-UY" w:eastAsia="es-UY"/>
        </w:rPr>
        <w:t xml:space="preserve">”. Este supone una interacción mutua (cf.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15,1-10 donde volvemos a encontrar la idea del “mandamiento”, la “palabra”, el “amor”). El “</w:t>
      </w:r>
      <w:r w:rsidRPr="004F769C">
        <w:rPr>
          <w:rFonts w:ascii="Arial" w:eastAsia="Times New Roman" w:hAnsi="Arial" w:cs="Arial"/>
          <w:i/>
          <w:iCs/>
          <w:color w:val="000000"/>
          <w:sz w:val="27"/>
          <w:szCs w:val="27"/>
          <w:lang w:val="es-UY" w:eastAsia="es-UY"/>
        </w:rPr>
        <w:t>caminar</w:t>
      </w:r>
      <w:r w:rsidRPr="004F769C">
        <w:rPr>
          <w:rFonts w:ascii="Arial" w:eastAsia="Times New Roman" w:hAnsi="Arial" w:cs="Arial"/>
          <w:color w:val="000000"/>
          <w:sz w:val="27"/>
          <w:szCs w:val="27"/>
          <w:lang w:val="es-UY" w:eastAsia="es-UY"/>
        </w:rPr>
        <w:t>” de Cristo, es “amar como él amo” hasta “el extremo”, y dar la vida por los que se ama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15,12.13; 13,1;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3,16; 4,11), es caminar “en la luz” (cf. 1 </w:t>
      </w:r>
      <w:proofErr w:type="spellStart"/>
      <w:r w:rsidRPr="004F769C">
        <w:rPr>
          <w:rFonts w:ascii="Arial" w:eastAsia="Times New Roman" w:hAnsi="Arial" w:cs="Arial"/>
          <w:color w:val="000000"/>
          <w:sz w:val="27"/>
          <w:szCs w:val="27"/>
          <w:lang w:val="es-UY" w:eastAsia="es-UY"/>
        </w:rPr>
        <w:t>Jn</w:t>
      </w:r>
      <w:proofErr w:type="spellEnd"/>
      <w:r w:rsidRPr="004F769C">
        <w:rPr>
          <w:rFonts w:ascii="Arial" w:eastAsia="Times New Roman" w:hAnsi="Arial" w:cs="Arial"/>
          <w:color w:val="000000"/>
          <w:sz w:val="27"/>
          <w:szCs w:val="27"/>
          <w:lang w:val="es-UY" w:eastAsia="es-UY"/>
        </w:rPr>
        <w:t xml:space="preserve"> 1,6.7).  Este camino, el amor, como amó él, a los hermanos (y hermanas) es el signo evidente (“</w:t>
      </w:r>
      <w:r w:rsidRPr="004F769C">
        <w:rPr>
          <w:rFonts w:ascii="Arial" w:eastAsia="Times New Roman" w:hAnsi="Arial" w:cs="Arial"/>
          <w:i/>
          <w:iCs/>
          <w:color w:val="000000"/>
          <w:sz w:val="27"/>
          <w:szCs w:val="27"/>
          <w:lang w:val="es-UY" w:eastAsia="es-UY"/>
        </w:rPr>
        <w:t>en esto</w:t>
      </w:r>
      <w:r w:rsidRPr="004F769C">
        <w:rPr>
          <w:rFonts w:ascii="Arial" w:eastAsia="Times New Roman" w:hAnsi="Arial" w:cs="Arial"/>
          <w:color w:val="000000"/>
          <w:sz w:val="27"/>
          <w:szCs w:val="27"/>
          <w:lang w:val="es-UY" w:eastAsia="es-UY"/>
        </w:rPr>
        <w:t>…”) que hace patente dónde estamos, si lo conocemos, si somos de la verdad o mentirosos que nos desentendemos de los/as hermanos/as.</w:t>
      </w:r>
    </w:p>
    <w:p w14:paraId="1DFF8B09"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6F858F30"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71D32A1B"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b/>
          <w:bCs/>
          <w:color w:val="000000"/>
          <w:sz w:val="27"/>
          <w:szCs w:val="27"/>
          <w:lang w:val="es-UY" w:eastAsia="es-UY"/>
        </w:rPr>
        <w:t>Evangelio según san Lucas</w:t>
      </w:r>
      <w:r w:rsidRPr="004F769C">
        <w:rPr>
          <w:rFonts w:ascii="Arial" w:eastAsia="Times New Roman" w:hAnsi="Arial" w:cs="Arial"/>
          <w:color w:val="000000"/>
          <w:sz w:val="27"/>
          <w:szCs w:val="27"/>
          <w:lang w:val="es-UY" w:eastAsia="es-UY"/>
        </w:rPr>
        <w:t>     24, 35-48</w:t>
      </w:r>
    </w:p>
    <w:p w14:paraId="4D034FCF"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131997BC"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i/>
          <w:iCs/>
          <w:color w:val="000000"/>
          <w:sz w:val="27"/>
          <w:szCs w:val="27"/>
          <w:lang w:val="es-UY" w:eastAsia="es-UY"/>
        </w:rPr>
        <w:t>Resumen: el resucitado se aparece a su grupo reunido y luego de darles signos que permitan creer que se trata de él mismo, y no una fantasía, los envía a predicar y ser sus testigos, para lo que debe abrirles el entendimiento para comprender las escrituras. Pero previamente a este desafío, deberán esperar la fuerza que Dios les enviará a fin de poder empezar la misión como discípulos de Jesús y continuadores de sus caminos.</w:t>
      </w:r>
    </w:p>
    <w:p w14:paraId="57DED17A"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1A17086B"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 xml:space="preserve">En el Evangelio de Lucas, todos los acontecimientos de la resurrección y encuentros con los discípulos ocurren el mismo único </w:t>
      </w:r>
      <w:proofErr w:type="gramStart"/>
      <w:r w:rsidRPr="004F769C">
        <w:rPr>
          <w:rFonts w:ascii="Arial" w:eastAsia="Times New Roman" w:hAnsi="Arial" w:cs="Arial"/>
          <w:color w:val="000000"/>
          <w:sz w:val="24"/>
          <w:szCs w:val="24"/>
          <w:lang w:val="es-UY" w:eastAsia="es-UY"/>
        </w:rPr>
        <w:t>día </w:t>
      </w:r>
      <w:r w:rsidRPr="004F769C">
        <w:rPr>
          <w:rFonts w:ascii="Arial" w:eastAsia="Times New Roman" w:hAnsi="Arial" w:cs="Arial"/>
          <w:i/>
          <w:iCs/>
          <w:color w:val="000000"/>
          <w:sz w:val="24"/>
          <w:szCs w:val="24"/>
          <w:lang w:val="es-UY" w:eastAsia="es-UY"/>
        </w:rPr>
        <w:t>domingo</w:t>
      </w:r>
      <w:proofErr w:type="gramEnd"/>
      <w:r w:rsidRPr="004F769C">
        <w:rPr>
          <w:rFonts w:ascii="Arial" w:eastAsia="Times New Roman" w:hAnsi="Arial" w:cs="Arial"/>
          <w:color w:val="000000"/>
          <w:sz w:val="24"/>
          <w:szCs w:val="24"/>
          <w:lang w:val="es-UY" w:eastAsia="es-UY"/>
        </w:rPr>
        <w:t>: la visita de las mujeres y de Pedro a la tumba, los peregrinos de Emaús, y la última aparición que incluye la ascensión. Esto contrasta notablemente con los mismos acontecimientos narrados por el mismo Lucas en Hechos donde todo ocurre a lo largo de 40 días (ambos son por razones evidentemente teológicas que veremos hoy y el día de la Ascensión). Como las escenas están encadenadas, la que hoy nos presenta la liturgia comienza con el fin de la escena de los peregrinos de Emaús (“</w:t>
      </w:r>
      <w:r w:rsidRPr="004F769C">
        <w:rPr>
          <w:rFonts w:ascii="Arial" w:eastAsia="Times New Roman" w:hAnsi="Arial" w:cs="Arial"/>
          <w:i/>
          <w:iCs/>
          <w:color w:val="000000"/>
          <w:sz w:val="24"/>
          <w:szCs w:val="24"/>
          <w:lang w:val="es-UY" w:eastAsia="es-UY"/>
        </w:rPr>
        <w:t>lo reconocieron al partir el pan</w:t>
      </w:r>
      <w:r w:rsidRPr="004F769C">
        <w:rPr>
          <w:rFonts w:ascii="Arial" w:eastAsia="Times New Roman" w:hAnsi="Arial" w:cs="Arial"/>
          <w:color w:val="000000"/>
          <w:sz w:val="24"/>
          <w:szCs w:val="24"/>
          <w:lang w:val="es-UY" w:eastAsia="es-UY"/>
        </w:rPr>
        <w:t>”). Y “</w:t>
      </w:r>
      <w:r w:rsidRPr="004F769C">
        <w:rPr>
          <w:rFonts w:ascii="Arial" w:eastAsia="Times New Roman" w:hAnsi="Arial" w:cs="Arial"/>
          <w:i/>
          <w:iCs/>
          <w:color w:val="000000"/>
          <w:sz w:val="24"/>
          <w:szCs w:val="24"/>
          <w:lang w:val="es-UY" w:eastAsia="es-UY"/>
        </w:rPr>
        <w:t>estaban todavía hablando cuando Jesús se presenta</w:t>
      </w:r>
      <w:r w:rsidRPr="004F769C">
        <w:rPr>
          <w:rFonts w:ascii="Arial" w:eastAsia="Times New Roman" w:hAnsi="Arial" w:cs="Arial"/>
          <w:color w:val="000000"/>
          <w:sz w:val="24"/>
          <w:szCs w:val="24"/>
          <w:lang w:val="es-UY" w:eastAsia="es-UY"/>
        </w:rPr>
        <w:t>”. La escena no termina de concluir cuando da comienzo a la siguiente. El cambio viene dado por los personajes y la incorporación de Jesús a la comunidad reunida. La estructura general es semejante al relato de los peregrinos: encuentro de Jesús que no es reconocido, explicación de las escrituras, Jesús come para ser creído, y retirada de Jesús. </w:t>
      </w:r>
    </w:p>
    <w:p w14:paraId="00AAB536"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2FF67EE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El texto tiene bastantes semejanzas con el relato de Juan de domingos anteriores (“</w:t>
      </w:r>
      <w:r w:rsidRPr="004F769C">
        <w:rPr>
          <w:rFonts w:ascii="Arial" w:eastAsia="Times New Roman" w:hAnsi="Arial" w:cs="Arial"/>
          <w:i/>
          <w:iCs/>
          <w:color w:val="000000"/>
          <w:sz w:val="24"/>
          <w:szCs w:val="24"/>
          <w:lang w:val="es-UY" w:eastAsia="es-UY"/>
        </w:rPr>
        <w:t>en medio de ellos</w:t>
      </w:r>
      <w:r w:rsidRPr="004F769C">
        <w:rPr>
          <w:rFonts w:ascii="Arial" w:eastAsia="Times New Roman" w:hAnsi="Arial" w:cs="Arial"/>
          <w:color w:val="000000"/>
          <w:sz w:val="24"/>
          <w:szCs w:val="24"/>
          <w:lang w:val="es-UY" w:eastAsia="es-UY"/>
        </w:rPr>
        <w:t>” [20,19], “</w:t>
      </w:r>
      <w:r w:rsidRPr="004F769C">
        <w:rPr>
          <w:rFonts w:ascii="Arial" w:eastAsia="Times New Roman" w:hAnsi="Arial" w:cs="Arial"/>
          <w:i/>
          <w:iCs/>
          <w:color w:val="000000"/>
          <w:sz w:val="24"/>
          <w:szCs w:val="24"/>
          <w:lang w:val="es-UY" w:eastAsia="es-UY"/>
        </w:rPr>
        <w:t>la paz esté con ustedes</w:t>
      </w:r>
      <w:r w:rsidRPr="004F769C">
        <w:rPr>
          <w:rFonts w:ascii="Arial" w:eastAsia="Times New Roman" w:hAnsi="Arial" w:cs="Arial"/>
          <w:color w:val="000000"/>
          <w:sz w:val="24"/>
          <w:szCs w:val="24"/>
          <w:lang w:val="es-UY" w:eastAsia="es-UY"/>
        </w:rPr>
        <w:t>” [20,19.21.26], “</w:t>
      </w:r>
      <w:r w:rsidRPr="004F769C">
        <w:rPr>
          <w:rFonts w:ascii="Arial" w:eastAsia="Times New Roman" w:hAnsi="Arial" w:cs="Arial"/>
          <w:i/>
          <w:iCs/>
          <w:color w:val="000000"/>
          <w:sz w:val="24"/>
          <w:szCs w:val="24"/>
          <w:lang w:val="es-UY" w:eastAsia="es-UY"/>
        </w:rPr>
        <w:t>les mostró las manos y los pies</w:t>
      </w:r>
      <w:r w:rsidRPr="004F769C">
        <w:rPr>
          <w:rFonts w:ascii="Arial" w:eastAsia="Times New Roman" w:hAnsi="Arial" w:cs="Arial"/>
          <w:color w:val="000000"/>
          <w:sz w:val="24"/>
          <w:szCs w:val="24"/>
          <w:lang w:val="es-UY" w:eastAsia="es-UY"/>
        </w:rPr>
        <w:t>” [20,20.27], come un “</w:t>
      </w:r>
      <w:r w:rsidRPr="004F769C">
        <w:rPr>
          <w:rFonts w:ascii="Arial" w:eastAsia="Times New Roman" w:hAnsi="Arial" w:cs="Arial"/>
          <w:i/>
          <w:iCs/>
          <w:color w:val="000000"/>
          <w:sz w:val="24"/>
          <w:szCs w:val="24"/>
          <w:lang w:val="es-UY" w:eastAsia="es-UY"/>
        </w:rPr>
        <w:t>pez asado</w:t>
      </w:r>
      <w:r w:rsidRPr="004F769C">
        <w:rPr>
          <w:rFonts w:ascii="Arial" w:eastAsia="Times New Roman" w:hAnsi="Arial" w:cs="Arial"/>
          <w:color w:val="000000"/>
          <w:sz w:val="24"/>
          <w:szCs w:val="24"/>
          <w:lang w:val="es-UY" w:eastAsia="es-UY"/>
        </w:rPr>
        <w:t>” [21,9], la “</w:t>
      </w:r>
      <w:r w:rsidRPr="004F769C">
        <w:rPr>
          <w:rFonts w:ascii="Arial" w:eastAsia="Times New Roman" w:hAnsi="Arial" w:cs="Arial"/>
          <w:i/>
          <w:iCs/>
          <w:color w:val="000000"/>
          <w:sz w:val="24"/>
          <w:szCs w:val="24"/>
          <w:lang w:val="es-UY" w:eastAsia="es-UY"/>
        </w:rPr>
        <w:t>alegría</w:t>
      </w:r>
      <w:r w:rsidRPr="004F769C">
        <w:rPr>
          <w:rFonts w:ascii="Arial" w:eastAsia="Times New Roman" w:hAnsi="Arial" w:cs="Arial"/>
          <w:color w:val="000000"/>
          <w:sz w:val="24"/>
          <w:szCs w:val="24"/>
          <w:lang w:val="es-UY" w:eastAsia="es-UY"/>
        </w:rPr>
        <w:t>” [20,20]). El grupo reunido – aparentemente los Once más los dos peregrinos de Emaús y quizás alguien más como algunas mujeres – estaba llenos de terror y de miedo porque creen ver un </w:t>
      </w:r>
      <w:r w:rsidRPr="004F769C">
        <w:rPr>
          <w:rFonts w:ascii="Arial" w:eastAsia="Times New Roman" w:hAnsi="Arial" w:cs="Arial"/>
          <w:i/>
          <w:iCs/>
          <w:color w:val="000000"/>
          <w:sz w:val="24"/>
          <w:szCs w:val="24"/>
          <w:lang w:val="es-UY" w:eastAsia="es-UY"/>
        </w:rPr>
        <w:t>espíritu</w:t>
      </w:r>
      <w:r w:rsidRPr="004F769C">
        <w:rPr>
          <w:rFonts w:ascii="Arial" w:eastAsia="Times New Roman" w:hAnsi="Arial" w:cs="Arial"/>
          <w:color w:val="000000"/>
          <w:sz w:val="24"/>
          <w:szCs w:val="24"/>
          <w:lang w:val="es-UY" w:eastAsia="es-UY"/>
        </w:rPr>
        <w:t xml:space="preserve">. Sólo en </w:t>
      </w:r>
      <w:proofErr w:type="spellStart"/>
      <w:r w:rsidRPr="004F769C">
        <w:rPr>
          <w:rFonts w:ascii="Arial" w:eastAsia="Times New Roman" w:hAnsi="Arial" w:cs="Arial"/>
          <w:color w:val="000000"/>
          <w:sz w:val="24"/>
          <w:szCs w:val="24"/>
          <w:lang w:val="es-UY" w:eastAsia="es-UY"/>
        </w:rPr>
        <w:t>Heb</w:t>
      </w:r>
      <w:proofErr w:type="spellEnd"/>
      <w:r w:rsidRPr="004F769C">
        <w:rPr>
          <w:rFonts w:ascii="Arial" w:eastAsia="Times New Roman" w:hAnsi="Arial" w:cs="Arial"/>
          <w:color w:val="000000"/>
          <w:sz w:val="24"/>
          <w:szCs w:val="24"/>
          <w:lang w:val="es-UY" w:eastAsia="es-UY"/>
        </w:rPr>
        <w:t xml:space="preserve"> 12,23 y 1 Pe 3,19 se utiliza “espíritu” entendiendo la ausencia de cuerpos, por eso un viejo manuscrito prefiere poner “</w:t>
      </w:r>
      <w:r w:rsidRPr="004F769C">
        <w:rPr>
          <w:rFonts w:ascii="Arial" w:eastAsia="Times New Roman" w:hAnsi="Arial" w:cs="Arial"/>
          <w:i/>
          <w:iCs/>
          <w:color w:val="000000"/>
          <w:sz w:val="24"/>
          <w:szCs w:val="24"/>
          <w:lang w:val="es-UY" w:eastAsia="es-UY"/>
        </w:rPr>
        <w:t>fantasma</w:t>
      </w:r>
      <w:r w:rsidRPr="004F769C">
        <w:rPr>
          <w:rFonts w:ascii="Arial" w:eastAsia="Times New Roman" w:hAnsi="Arial" w:cs="Arial"/>
          <w:color w:val="000000"/>
          <w:sz w:val="24"/>
          <w:szCs w:val="24"/>
          <w:lang w:val="es-UY" w:eastAsia="es-UY"/>
        </w:rPr>
        <w:t>” (que aunque no sea literal, sí refleja la idea). El estado general es de confusión y se suman verbos a los ya usados de “</w:t>
      </w:r>
      <w:r w:rsidRPr="004F769C">
        <w:rPr>
          <w:rFonts w:ascii="Arial" w:eastAsia="Times New Roman" w:hAnsi="Arial" w:cs="Arial"/>
          <w:i/>
          <w:iCs/>
          <w:color w:val="000000"/>
          <w:sz w:val="24"/>
          <w:szCs w:val="24"/>
          <w:lang w:val="es-UY" w:eastAsia="es-UY"/>
        </w:rPr>
        <w:t>terror y temor</w:t>
      </w:r>
      <w:r w:rsidRPr="004F769C">
        <w:rPr>
          <w:rFonts w:ascii="Arial" w:eastAsia="Times New Roman" w:hAnsi="Arial" w:cs="Arial"/>
          <w:color w:val="000000"/>
          <w:sz w:val="24"/>
          <w:szCs w:val="24"/>
          <w:lang w:val="es-UY" w:eastAsia="es-UY"/>
        </w:rPr>
        <w:t>”: “</w:t>
      </w:r>
      <w:r w:rsidRPr="004F769C">
        <w:rPr>
          <w:rFonts w:ascii="Arial" w:eastAsia="Times New Roman" w:hAnsi="Arial" w:cs="Arial"/>
          <w:i/>
          <w:iCs/>
          <w:color w:val="000000"/>
          <w:sz w:val="24"/>
          <w:szCs w:val="24"/>
          <w:lang w:val="es-UY" w:eastAsia="es-UY"/>
        </w:rPr>
        <w:t>turbación</w:t>
      </w:r>
      <w:r w:rsidRPr="004F769C">
        <w:rPr>
          <w:rFonts w:ascii="Arial" w:eastAsia="Times New Roman" w:hAnsi="Arial" w:cs="Arial"/>
          <w:color w:val="000000"/>
          <w:sz w:val="24"/>
          <w:szCs w:val="24"/>
          <w:lang w:val="es-UY" w:eastAsia="es-UY"/>
        </w:rPr>
        <w:t>” (como el de Zacarías frente al ángel, 1,12), “</w:t>
      </w:r>
      <w:r w:rsidRPr="004F769C">
        <w:rPr>
          <w:rFonts w:ascii="Arial" w:eastAsia="Times New Roman" w:hAnsi="Arial" w:cs="Arial"/>
          <w:i/>
          <w:iCs/>
          <w:color w:val="000000"/>
          <w:sz w:val="24"/>
          <w:szCs w:val="24"/>
          <w:lang w:val="es-UY" w:eastAsia="es-UY"/>
        </w:rPr>
        <w:t>dudas</w:t>
      </w:r>
      <w:r w:rsidRPr="004F769C">
        <w:rPr>
          <w:rFonts w:ascii="Arial" w:eastAsia="Times New Roman" w:hAnsi="Arial" w:cs="Arial"/>
          <w:color w:val="000000"/>
          <w:sz w:val="24"/>
          <w:szCs w:val="24"/>
          <w:lang w:val="es-UY" w:eastAsia="es-UY"/>
        </w:rPr>
        <w:t>” (o “razonamiento”), “</w:t>
      </w:r>
      <w:r w:rsidRPr="004F769C">
        <w:rPr>
          <w:rFonts w:ascii="Arial" w:eastAsia="Times New Roman" w:hAnsi="Arial" w:cs="Arial"/>
          <w:i/>
          <w:iCs/>
          <w:color w:val="000000"/>
          <w:sz w:val="24"/>
          <w:szCs w:val="24"/>
          <w:lang w:val="es-UY" w:eastAsia="es-UY"/>
        </w:rPr>
        <w:t>asombro</w:t>
      </w:r>
      <w:r w:rsidRPr="004F769C">
        <w:rPr>
          <w:rFonts w:ascii="Arial" w:eastAsia="Times New Roman" w:hAnsi="Arial" w:cs="Arial"/>
          <w:color w:val="000000"/>
          <w:sz w:val="24"/>
          <w:szCs w:val="24"/>
          <w:lang w:val="es-UY" w:eastAsia="es-UY"/>
        </w:rPr>
        <w:t>” (o también “maravillarse”) y finalmente – tema habitual en Lucas – “alegría” (x8; cf. 24,52). Pero los signos de la cruz no bastan (“</w:t>
      </w:r>
      <w:r w:rsidRPr="004F769C">
        <w:rPr>
          <w:rFonts w:ascii="Arial" w:eastAsia="Times New Roman" w:hAnsi="Arial" w:cs="Arial"/>
          <w:i/>
          <w:iCs/>
          <w:color w:val="000000"/>
          <w:sz w:val="24"/>
          <w:szCs w:val="24"/>
          <w:lang w:val="es-UY" w:eastAsia="es-UY"/>
        </w:rPr>
        <w:t>un espíritu no tiene carne y huesos</w:t>
      </w:r>
      <w:r w:rsidRPr="004F769C">
        <w:rPr>
          <w:rFonts w:ascii="Arial" w:eastAsia="Times New Roman" w:hAnsi="Arial" w:cs="Arial"/>
          <w:color w:val="000000"/>
          <w:sz w:val="24"/>
          <w:szCs w:val="24"/>
          <w:lang w:val="es-UY" w:eastAsia="es-UY"/>
        </w:rPr>
        <w:t>”) y entonces Jesús </w:t>
      </w:r>
      <w:r w:rsidRPr="004F769C">
        <w:rPr>
          <w:rFonts w:ascii="Arial" w:eastAsia="Times New Roman" w:hAnsi="Arial" w:cs="Arial"/>
          <w:i/>
          <w:iCs/>
          <w:color w:val="000000"/>
          <w:sz w:val="24"/>
          <w:szCs w:val="24"/>
          <w:lang w:val="es-UY" w:eastAsia="es-UY"/>
        </w:rPr>
        <w:t>come</w:t>
      </w:r>
      <w:r w:rsidRPr="004F769C">
        <w:rPr>
          <w:rFonts w:ascii="Arial" w:eastAsia="Times New Roman" w:hAnsi="Arial" w:cs="Arial"/>
          <w:color w:val="000000"/>
          <w:sz w:val="24"/>
          <w:szCs w:val="24"/>
          <w:lang w:val="es-UY" w:eastAsia="es-UY"/>
        </w:rPr>
        <w:t>, nuevo signo visible de que no se trata de un espíritu. Sintetizando esta unidad notemos que el acento de la primera parte está puesto en la presencia de Jesús en medio de los suyos, sus dudas y asombro, y el intento de Jesús de ser reconocido. Y todo esto prepara la escena que sigue donde Jesús interpreta su ministerio y prepara el ministerio eclesial.</w:t>
      </w:r>
    </w:p>
    <w:p w14:paraId="1E6F5D2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31558277"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La siguiente escena nos presenta la última enseñanza de Jesús a los suyos y finaliza con su elevación (esta última está omitida del texto litúrgico, sin dudas para no anticipar la fiesta de la ascensión). Podemos decir que en esta unidad Lucas concentra el kerigma del sentido de su evangelio y de Hechos de los Apóstoles. </w:t>
      </w:r>
    </w:p>
    <w:p w14:paraId="387AD08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5A9EC390"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Precisamente por lo dicho, sería extensísimo detenernos en todos los elementos de esta unidad literaria. Veamos solamente lo principal.</w:t>
      </w:r>
    </w:p>
    <w:p w14:paraId="17C15EDB"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7060AE7A"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Jesús remite a sus palabras “</w:t>
      </w:r>
      <w:r w:rsidRPr="004F769C">
        <w:rPr>
          <w:rFonts w:ascii="Arial" w:eastAsia="Times New Roman" w:hAnsi="Arial" w:cs="Arial"/>
          <w:i/>
          <w:iCs/>
          <w:color w:val="000000"/>
          <w:sz w:val="24"/>
          <w:szCs w:val="24"/>
          <w:lang w:val="es-UY" w:eastAsia="es-UY"/>
        </w:rPr>
        <w:t>cuando estaba</w:t>
      </w:r>
      <w:r w:rsidRPr="004F769C">
        <w:rPr>
          <w:rFonts w:ascii="Arial" w:eastAsia="Times New Roman" w:hAnsi="Arial" w:cs="Arial"/>
          <w:color w:val="000000"/>
          <w:sz w:val="24"/>
          <w:szCs w:val="24"/>
          <w:lang w:val="es-UY" w:eastAsia="es-UY"/>
        </w:rPr>
        <w:t>”, sin duda parece referir a los anuncios de la pasión (9,22.43-45; 18,31-33), pero probablemente también a toda su predicación. Y de este modo se cumple “</w:t>
      </w:r>
      <w:r w:rsidRPr="004F769C">
        <w:rPr>
          <w:rFonts w:ascii="Arial" w:eastAsia="Times New Roman" w:hAnsi="Arial" w:cs="Arial"/>
          <w:i/>
          <w:iCs/>
          <w:color w:val="000000"/>
          <w:sz w:val="24"/>
          <w:szCs w:val="24"/>
          <w:lang w:val="es-UY" w:eastAsia="es-UY"/>
        </w:rPr>
        <w:t>todo</w:t>
      </w:r>
      <w:r w:rsidRPr="004F769C">
        <w:rPr>
          <w:rFonts w:ascii="Arial" w:eastAsia="Times New Roman" w:hAnsi="Arial" w:cs="Arial"/>
          <w:color w:val="000000"/>
          <w:sz w:val="24"/>
          <w:szCs w:val="24"/>
          <w:lang w:val="es-UY" w:eastAsia="es-UY"/>
        </w:rPr>
        <w:t>” (exageración característica de Lucas) lo escrito. En general la referencia a las Escrituras judías se menciona como “</w:t>
      </w:r>
      <w:r w:rsidRPr="004F769C">
        <w:rPr>
          <w:rFonts w:ascii="Arial" w:eastAsia="Times New Roman" w:hAnsi="Arial" w:cs="Arial"/>
          <w:i/>
          <w:iCs/>
          <w:color w:val="000000"/>
          <w:sz w:val="24"/>
          <w:szCs w:val="24"/>
          <w:lang w:val="es-UY" w:eastAsia="es-UY"/>
        </w:rPr>
        <w:t>la Ley y los profetas</w:t>
      </w:r>
      <w:r w:rsidRPr="004F769C">
        <w:rPr>
          <w:rFonts w:ascii="Arial" w:eastAsia="Times New Roman" w:hAnsi="Arial" w:cs="Arial"/>
          <w:color w:val="000000"/>
          <w:sz w:val="24"/>
          <w:szCs w:val="24"/>
          <w:lang w:val="es-UY" w:eastAsia="es-UY"/>
        </w:rPr>
        <w:t xml:space="preserve">” (2 Mac 15,9; Mt 5,17; 7,12; 11,13; 22,40; </w:t>
      </w:r>
      <w:proofErr w:type="spellStart"/>
      <w:r w:rsidRPr="004F769C">
        <w:rPr>
          <w:rFonts w:ascii="Arial" w:eastAsia="Times New Roman" w:hAnsi="Arial" w:cs="Arial"/>
          <w:color w:val="000000"/>
          <w:sz w:val="24"/>
          <w:szCs w:val="24"/>
          <w:lang w:val="es-UY" w:eastAsia="es-UY"/>
        </w:rPr>
        <w:t>Lc</w:t>
      </w:r>
      <w:proofErr w:type="spellEnd"/>
      <w:r w:rsidRPr="004F769C">
        <w:rPr>
          <w:rFonts w:ascii="Arial" w:eastAsia="Times New Roman" w:hAnsi="Arial" w:cs="Arial"/>
          <w:color w:val="000000"/>
          <w:sz w:val="24"/>
          <w:szCs w:val="24"/>
          <w:lang w:val="es-UY" w:eastAsia="es-UY"/>
        </w:rPr>
        <w:t xml:space="preserve"> 16,16; </w:t>
      </w:r>
      <w:proofErr w:type="spellStart"/>
      <w:r w:rsidRPr="004F769C">
        <w:rPr>
          <w:rFonts w:ascii="Arial" w:eastAsia="Times New Roman" w:hAnsi="Arial" w:cs="Arial"/>
          <w:color w:val="000000"/>
          <w:sz w:val="24"/>
          <w:szCs w:val="24"/>
          <w:lang w:val="es-UY" w:eastAsia="es-UY"/>
        </w:rPr>
        <w:t>Jn</w:t>
      </w:r>
      <w:proofErr w:type="spellEnd"/>
      <w:r w:rsidRPr="004F769C">
        <w:rPr>
          <w:rFonts w:ascii="Arial" w:eastAsia="Times New Roman" w:hAnsi="Arial" w:cs="Arial"/>
          <w:color w:val="000000"/>
          <w:sz w:val="24"/>
          <w:szCs w:val="24"/>
          <w:lang w:val="es-UY" w:eastAsia="es-UY"/>
        </w:rPr>
        <w:t xml:space="preserve"> 1,45; </w:t>
      </w:r>
      <w:proofErr w:type="spellStart"/>
      <w:r w:rsidRPr="004F769C">
        <w:rPr>
          <w:rFonts w:ascii="Arial" w:eastAsia="Times New Roman" w:hAnsi="Arial" w:cs="Arial"/>
          <w:color w:val="000000"/>
          <w:sz w:val="24"/>
          <w:szCs w:val="24"/>
          <w:lang w:val="es-UY" w:eastAsia="es-UY"/>
        </w:rPr>
        <w:t>Hch</w:t>
      </w:r>
      <w:proofErr w:type="spellEnd"/>
      <w:r w:rsidRPr="004F769C">
        <w:rPr>
          <w:rFonts w:ascii="Arial" w:eastAsia="Times New Roman" w:hAnsi="Arial" w:cs="Arial"/>
          <w:color w:val="000000"/>
          <w:sz w:val="24"/>
          <w:szCs w:val="24"/>
          <w:lang w:val="es-UY" w:eastAsia="es-UY"/>
        </w:rPr>
        <w:t xml:space="preserve"> 13,15; 24,14; 28,23; </w:t>
      </w:r>
      <w:proofErr w:type="spellStart"/>
      <w:r w:rsidRPr="004F769C">
        <w:rPr>
          <w:rFonts w:ascii="Arial" w:eastAsia="Times New Roman" w:hAnsi="Arial" w:cs="Arial"/>
          <w:color w:val="000000"/>
          <w:sz w:val="24"/>
          <w:szCs w:val="24"/>
          <w:lang w:val="es-UY" w:eastAsia="es-UY"/>
        </w:rPr>
        <w:t>Rom</w:t>
      </w:r>
      <w:proofErr w:type="spellEnd"/>
      <w:r w:rsidRPr="004F769C">
        <w:rPr>
          <w:rFonts w:ascii="Arial" w:eastAsia="Times New Roman" w:hAnsi="Arial" w:cs="Arial"/>
          <w:color w:val="000000"/>
          <w:sz w:val="24"/>
          <w:szCs w:val="24"/>
          <w:lang w:val="es-UY" w:eastAsia="es-UY"/>
        </w:rPr>
        <w:t xml:space="preserve"> 3,21), aunque el traductor del Eclesiástico – en el prólogo – ya alude a Ley, Profetas y Escritos (v.2.25). Aquí la referencia a los Salmos (Ley-Profetas-Salmos) no es evidente. ¿Se refiere a los "escritos" en general mencionados por su obra más extensa? Si se refiere – como vimos posible – especialmente a la referencia a la pasión y pascua puede estar aludiendo a los Salmos tan frecuentemente aludidos en los relatos de la Pasión (Salmos 22; 31) y la importancia de otros Salmos en su lectura con referencia a la resurrección (110,1 que se cita en alusión a la “ascensión”). En realidad no es muy diferente a “</w:t>
      </w:r>
      <w:r w:rsidRPr="004F769C">
        <w:rPr>
          <w:rFonts w:ascii="Arial" w:eastAsia="Times New Roman" w:hAnsi="Arial" w:cs="Arial"/>
          <w:i/>
          <w:iCs/>
          <w:color w:val="000000"/>
          <w:sz w:val="24"/>
          <w:szCs w:val="24"/>
          <w:lang w:val="es-UY" w:eastAsia="es-UY"/>
        </w:rPr>
        <w:t>empezando por Moisés y siguiendo por ‘todos’ los profetas les explicó lo que había sobre él en ‘todas’ las Escrituras</w:t>
      </w:r>
      <w:r w:rsidRPr="004F769C">
        <w:rPr>
          <w:rFonts w:ascii="Arial" w:eastAsia="Times New Roman" w:hAnsi="Arial" w:cs="Arial"/>
          <w:color w:val="000000"/>
          <w:sz w:val="24"/>
          <w:szCs w:val="24"/>
          <w:lang w:val="es-UY" w:eastAsia="es-UY"/>
        </w:rPr>
        <w:t>” (24,27).</w:t>
      </w:r>
    </w:p>
    <w:p w14:paraId="481283FE"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 </w:t>
      </w:r>
      <w:r w:rsidRPr="004F769C">
        <w:rPr>
          <w:rFonts w:ascii="Arial" w:eastAsia="Times New Roman" w:hAnsi="Arial" w:cs="Arial"/>
          <w:color w:val="000000"/>
          <w:sz w:val="27"/>
          <w:szCs w:val="27"/>
          <w:lang w:val="es-UY" w:eastAsia="es-UY"/>
        </w:rPr>
        <w:br/>
      </w:r>
      <w:r w:rsidRPr="004F769C">
        <w:rPr>
          <w:rFonts w:ascii="Arial" w:eastAsia="Times New Roman" w:hAnsi="Arial" w:cs="Arial"/>
          <w:color w:val="000000"/>
          <w:sz w:val="27"/>
          <w:szCs w:val="27"/>
          <w:lang w:val="es-UY" w:eastAsia="es-UY"/>
        </w:rPr>
        <w:br/>
      </w:r>
      <w:r w:rsidRPr="004F769C">
        <w:rPr>
          <w:rFonts w:ascii="Arial" w:eastAsia="Times New Roman" w:hAnsi="Arial" w:cs="Arial"/>
          <w:color w:val="000000"/>
          <w:sz w:val="24"/>
          <w:szCs w:val="24"/>
          <w:lang w:val="es-UY" w:eastAsia="es-UY"/>
        </w:rPr>
        <w:t>Quizás la idea de que “</w:t>
      </w:r>
      <w:r w:rsidRPr="004F769C">
        <w:rPr>
          <w:rFonts w:ascii="Arial" w:eastAsia="Times New Roman" w:hAnsi="Arial" w:cs="Arial"/>
          <w:i/>
          <w:iCs/>
          <w:color w:val="000000"/>
          <w:sz w:val="24"/>
          <w:szCs w:val="24"/>
          <w:lang w:val="es-UY" w:eastAsia="es-UY"/>
        </w:rPr>
        <w:t>abrió sus inteligencias</w:t>
      </w:r>
      <w:r w:rsidRPr="004F769C">
        <w:rPr>
          <w:rFonts w:ascii="Arial" w:eastAsia="Times New Roman" w:hAnsi="Arial" w:cs="Arial"/>
          <w:color w:val="000000"/>
          <w:sz w:val="24"/>
          <w:szCs w:val="24"/>
          <w:lang w:val="es-UY" w:eastAsia="es-UY"/>
        </w:rPr>
        <w:t xml:space="preserve">” no deba entenderse de modo diferente a lo dicho por los peregrinos: “¿no estaba ardiendo nuestro corazón dentro de nosotros cuando nos hablaba en el camino y nos explicaba las escrituras?” (24,32). Lo mismo la idea de que “está escrito que el Cristo padeciera y resucitara” es paralelo al dicho: “¿No era necesario que el Cristo padeciera eso y entrara así en su gloria?” (24,26). Es decir, hasta aquí nos encontramos a modo sintético con elementos que veíamos en el cuerpo del Evangelio, y señalados en el relato anterior de los peregrinos de Emaús; pero en esta unidad </w:t>
      </w:r>
      <w:proofErr w:type="spellStart"/>
      <w:r w:rsidRPr="004F769C">
        <w:rPr>
          <w:rFonts w:ascii="Arial" w:eastAsia="Times New Roman" w:hAnsi="Arial" w:cs="Arial"/>
          <w:color w:val="000000"/>
          <w:sz w:val="24"/>
          <w:szCs w:val="24"/>
          <w:lang w:val="es-UY" w:eastAsia="es-UY"/>
        </w:rPr>
        <w:t>kerigmática</w:t>
      </w:r>
      <w:proofErr w:type="spellEnd"/>
      <w:r w:rsidRPr="004F769C">
        <w:rPr>
          <w:rFonts w:ascii="Arial" w:eastAsia="Times New Roman" w:hAnsi="Arial" w:cs="Arial"/>
          <w:color w:val="000000"/>
          <w:sz w:val="24"/>
          <w:szCs w:val="24"/>
          <w:lang w:val="es-UY" w:eastAsia="es-UY"/>
        </w:rPr>
        <w:t xml:space="preserve"> Lucas añade todavía nuevos elementos que preparan lo que vendrá a continuación: el libro de los Hechos. Y lo señala como parte de las Escrituras, que “</w:t>
      </w:r>
      <w:r w:rsidRPr="004F769C">
        <w:rPr>
          <w:rFonts w:ascii="Arial" w:eastAsia="Times New Roman" w:hAnsi="Arial" w:cs="Arial"/>
          <w:i/>
          <w:iCs/>
          <w:color w:val="000000"/>
          <w:sz w:val="24"/>
          <w:szCs w:val="24"/>
          <w:lang w:val="es-UY" w:eastAsia="es-UY"/>
        </w:rPr>
        <w:t>se predicara en su nombre la conversión para perdón de los pecados a todas las naciones, empezando desde Jerusalén</w:t>
      </w:r>
      <w:r w:rsidRPr="004F769C">
        <w:rPr>
          <w:rFonts w:ascii="Arial" w:eastAsia="Times New Roman" w:hAnsi="Arial" w:cs="Arial"/>
          <w:color w:val="000000"/>
          <w:sz w:val="24"/>
          <w:szCs w:val="24"/>
          <w:lang w:val="es-UY" w:eastAsia="es-UY"/>
        </w:rPr>
        <w:t>”. (</w:t>
      </w:r>
      <w:proofErr w:type="spellStart"/>
      <w:r w:rsidRPr="004F769C">
        <w:rPr>
          <w:rFonts w:ascii="Arial" w:eastAsia="Times New Roman" w:hAnsi="Arial" w:cs="Arial"/>
          <w:color w:val="000000"/>
          <w:sz w:val="24"/>
          <w:szCs w:val="24"/>
          <w:lang w:val="es-UY" w:eastAsia="es-UY"/>
        </w:rPr>
        <w:t>Lc</w:t>
      </w:r>
      <w:proofErr w:type="spellEnd"/>
      <w:r w:rsidRPr="004F769C">
        <w:rPr>
          <w:rFonts w:ascii="Arial" w:eastAsia="Times New Roman" w:hAnsi="Arial" w:cs="Arial"/>
          <w:color w:val="000000"/>
          <w:sz w:val="24"/>
          <w:szCs w:val="24"/>
          <w:lang w:val="es-UY" w:eastAsia="es-UY"/>
        </w:rPr>
        <w:t xml:space="preserve"> 24,47). </w:t>
      </w:r>
      <w:r w:rsidRPr="004F769C">
        <w:rPr>
          <w:rFonts w:ascii="Arial" w:eastAsia="Times New Roman" w:hAnsi="Arial" w:cs="Arial"/>
          <w:color w:val="000000"/>
          <w:sz w:val="27"/>
          <w:szCs w:val="27"/>
          <w:lang w:val="es-UY" w:eastAsia="es-UY"/>
        </w:rPr>
        <w:br/>
      </w:r>
      <w:r w:rsidRPr="004F769C">
        <w:rPr>
          <w:rFonts w:ascii="Arial" w:eastAsia="Times New Roman" w:hAnsi="Arial" w:cs="Arial"/>
          <w:color w:val="000000"/>
          <w:sz w:val="27"/>
          <w:szCs w:val="27"/>
          <w:lang w:val="es-UY" w:eastAsia="es-UY"/>
        </w:rPr>
        <w:br/>
      </w:r>
      <w:r w:rsidRPr="004F769C">
        <w:rPr>
          <w:rFonts w:ascii="Arial" w:eastAsia="Times New Roman" w:hAnsi="Arial" w:cs="Arial"/>
          <w:color w:val="000000"/>
          <w:sz w:val="24"/>
          <w:szCs w:val="24"/>
          <w:lang w:val="es-UY" w:eastAsia="es-UY"/>
        </w:rPr>
        <w:t>La idea de la conversión y el perdón de los pecados es propia de Lucas (3,3), y más claramente todavía la idea de que debe ser a “</w:t>
      </w:r>
      <w:r w:rsidRPr="004F769C">
        <w:rPr>
          <w:rFonts w:ascii="Arial" w:eastAsia="Times New Roman" w:hAnsi="Arial" w:cs="Arial"/>
          <w:i/>
          <w:iCs/>
          <w:color w:val="000000"/>
          <w:sz w:val="24"/>
          <w:szCs w:val="24"/>
          <w:lang w:val="es-UY" w:eastAsia="es-UY"/>
        </w:rPr>
        <w:t>todas las naciones</w:t>
      </w:r>
      <w:r w:rsidRPr="004F769C">
        <w:rPr>
          <w:rFonts w:ascii="Arial" w:eastAsia="Times New Roman" w:hAnsi="Arial" w:cs="Arial"/>
          <w:color w:val="000000"/>
          <w:sz w:val="24"/>
          <w:szCs w:val="24"/>
          <w:lang w:val="es-UY" w:eastAsia="es-UY"/>
        </w:rPr>
        <w:t>” (</w:t>
      </w:r>
      <w:proofErr w:type="spellStart"/>
      <w:r w:rsidRPr="004F769C">
        <w:rPr>
          <w:rFonts w:ascii="Arial" w:eastAsia="Times New Roman" w:hAnsi="Arial" w:cs="Arial"/>
          <w:color w:val="000000"/>
          <w:sz w:val="24"/>
          <w:szCs w:val="24"/>
          <w:lang w:val="es-UY" w:eastAsia="es-UY"/>
        </w:rPr>
        <w:t>Lc</w:t>
      </w:r>
      <w:proofErr w:type="spellEnd"/>
      <w:r w:rsidRPr="004F769C">
        <w:rPr>
          <w:rFonts w:ascii="Arial" w:eastAsia="Times New Roman" w:hAnsi="Arial" w:cs="Arial"/>
          <w:color w:val="000000"/>
          <w:sz w:val="24"/>
          <w:szCs w:val="24"/>
          <w:lang w:val="es-UY" w:eastAsia="es-UY"/>
        </w:rPr>
        <w:t xml:space="preserve"> 12,30; </w:t>
      </w:r>
      <w:proofErr w:type="spellStart"/>
      <w:r w:rsidRPr="004F769C">
        <w:rPr>
          <w:rFonts w:ascii="Arial" w:eastAsia="Times New Roman" w:hAnsi="Arial" w:cs="Arial"/>
          <w:color w:val="000000"/>
          <w:sz w:val="24"/>
          <w:szCs w:val="24"/>
          <w:lang w:val="es-UY" w:eastAsia="es-UY"/>
        </w:rPr>
        <w:t>Hch</w:t>
      </w:r>
      <w:proofErr w:type="spellEnd"/>
      <w:r w:rsidRPr="004F769C">
        <w:rPr>
          <w:rFonts w:ascii="Arial" w:eastAsia="Times New Roman" w:hAnsi="Arial" w:cs="Arial"/>
          <w:color w:val="000000"/>
          <w:sz w:val="24"/>
          <w:szCs w:val="24"/>
          <w:lang w:val="es-UY" w:eastAsia="es-UY"/>
        </w:rPr>
        <w:t xml:space="preserve"> 14,16; 15,17 (= Am 9,12) y el comienzo en Jerusalén (</w:t>
      </w:r>
      <w:proofErr w:type="spellStart"/>
      <w:r w:rsidRPr="004F769C">
        <w:rPr>
          <w:rFonts w:ascii="Arial" w:eastAsia="Times New Roman" w:hAnsi="Arial" w:cs="Arial"/>
          <w:color w:val="000000"/>
          <w:sz w:val="24"/>
          <w:szCs w:val="24"/>
          <w:lang w:val="es-UY" w:eastAsia="es-UY"/>
        </w:rPr>
        <w:t>Hch</w:t>
      </w:r>
      <w:proofErr w:type="spellEnd"/>
      <w:r w:rsidRPr="004F769C">
        <w:rPr>
          <w:rFonts w:ascii="Arial" w:eastAsia="Times New Roman" w:hAnsi="Arial" w:cs="Arial"/>
          <w:color w:val="000000"/>
          <w:sz w:val="24"/>
          <w:szCs w:val="24"/>
          <w:lang w:val="es-UY" w:eastAsia="es-UY"/>
        </w:rPr>
        <w:t xml:space="preserve"> 1,8.22; 10,37). De todos modos, también esto puede remitirnos a la predicación de Jesús y al envío de los Doce (9,1-6) y los Setenta y dos (10,1-17). Pero en el siguiente versículo (v.48) ya entramos en un terreno nuevo, más propio de Hechos: la responsabilidad de ser </w:t>
      </w:r>
      <w:r w:rsidRPr="004F769C">
        <w:rPr>
          <w:rFonts w:ascii="Arial" w:eastAsia="Times New Roman" w:hAnsi="Arial" w:cs="Arial"/>
          <w:i/>
          <w:iCs/>
          <w:color w:val="000000"/>
          <w:sz w:val="24"/>
          <w:szCs w:val="24"/>
          <w:lang w:val="es-UY" w:eastAsia="es-UY"/>
        </w:rPr>
        <w:t>testigos</w:t>
      </w:r>
      <w:r w:rsidRPr="004F769C">
        <w:rPr>
          <w:rFonts w:ascii="Arial" w:eastAsia="Times New Roman" w:hAnsi="Arial" w:cs="Arial"/>
          <w:color w:val="000000"/>
          <w:sz w:val="24"/>
          <w:szCs w:val="24"/>
          <w:lang w:val="es-UY" w:eastAsia="es-UY"/>
        </w:rPr>
        <w:t xml:space="preserve"> (ver. </w:t>
      </w:r>
      <w:proofErr w:type="spellStart"/>
      <w:r w:rsidRPr="004F769C">
        <w:rPr>
          <w:rFonts w:ascii="Arial" w:eastAsia="Times New Roman" w:hAnsi="Arial" w:cs="Arial"/>
          <w:color w:val="000000"/>
          <w:sz w:val="24"/>
          <w:szCs w:val="24"/>
          <w:lang w:val="es-UY" w:eastAsia="es-UY"/>
        </w:rPr>
        <w:t>Hch</w:t>
      </w:r>
      <w:proofErr w:type="spellEnd"/>
      <w:r w:rsidRPr="004F769C">
        <w:rPr>
          <w:rFonts w:ascii="Arial" w:eastAsia="Times New Roman" w:hAnsi="Arial" w:cs="Arial"/>
          <w:color w:val="000000"/>
          <w:sz w:val="24"/>
          <w:szCs w:val="24"/>
          <w:lang w:val="es-UY" w:eastAsia="es-UY"/>
        </w:rPr>
        <w:t xml:space="preserve"> 1,8.22; 2,31; 3,15; 5,32; 10,39.41; 13,31; 22,15; 26,16; cf. 4,33; 22,20). Los que han sido “testigos oculares” (</w:t>
      </w:r>
      <w:proofErr w:type="spellStart"/>
      <w:r w:rsidRPr="004F769C">
        <w:rPr>
          <w:rFonts w:ascii="Arial" w:eastAsia="Times New Roman" w:hAnsi="Arial" w:cs="Arial"/>
          <w:color w:val="000000"/>
          <w:sz w:val="24"/>
          <w:szCs w:val="24"/>
          <w:lang w:val="es-UY" w:eastAsia="es-UY"/>
        </w:rPr>
        <w:t>Lc</w:t>
      </w:r>
      <w:proofErr w:type="spellEnd"/>
      <w:r w:rsidRPr="004F769C">
        <w:rPr>
          <w:rFonts w:ascii="Arial" w:eastAsia="Times New Roman" w:hAnsi="Arial" w:cs="Arial"/>
          <w:color w:val="000000"/>
          <w:sz w:val="24"/>
          <w:szCs w:val="24"/>
          <w:lang w:val="es-UY" w:eastAsia="es-UY"/>
        </w:rPr>
        <w:t xml:space="preserve"> 1,2; ver </w:t>
      </w:r>
      <w:proofErr w:type="spellStart"/>
      <w:r w:rsidRPr="004F769C">
        <w:rPr>
          <w:rFonts w:ascii="Arial" w:eastAsia="Times New Roman" w:hAnsi="Arial" w:cs="Arial"/>
          <w:color w:val="000000"/>
          <w:sz w:val="24"/>
          <w:szCs w:val="24"/>
          <w:lang w:val="es-UY" w:eastAsia="es-UY"/>
        </w:rPr>
        <w:t>Hch</w:t>
      </w:r>
      <w:proofErr w:type="spellEnd"/>
      <w:r w:rsidRPr="004F769C">
        <w:rPr>
          <w:rFonts w:ascii="Arial" w:eastAsia="Times New Roman" w:hAnsi="Arial" w:cs="Arial"/>
          <w:color w:val="000000"/>
          <w:sz w:val="24"/>
          <w:szCs w:val="24"/>
          <w:lang w:val="es-UY" w:eastAsia="es-UY"/>
        </w:rPr>
        <w:t xml:space="preserve"> 1,21-22) deben ahora “</w:t>
      </w:r>
      <w:r w:rsidRPr="004F769C">
        <w:rPr>
          <w:rFonts w:ascii="Arial" w:eastAsia="Times New Roman" w:hAnsi="Arial" w:cs="Arial"/>
          <w:i/>
          <w:iCs/>
          <w:color w:val="000000"/>
          <w:sz w:val="24"/>
          <w:szCs w:val="24"/>
          <w:lang w:val="es-UY" w:eastAsia="es-UY"/>
        </w:rPr>
        <w:t>testimoniar</w:t>
      </w:r>
      <w:r w:rsidRPr="004F769C">
        <w:rPr>
          <w:rFonts w:ascii="Arial" w:eastAsia="Times New Roman" w:hAnsi="Arial" w:cs="Arial"/>
          <w:color w:val="000000"/>
          <w:sz w:val="24"/>
          <w:szCs w:val="24"/>
          <w:lang w:val="es-UY" w:eastAsia="es-UY"/>
        </w:rPr>
        <w:t>”. Para eso son “</w:t>
      </w:r>
      <w:r w:rsidRPr="004F769C">
        <w:rPr>
          <w:rFonts w:ascii="Arial" w:eastAsia="Times New Roman" w:hAnsi="Arial" w:cs="Arial"/>
          <w:i/>
          <w:iCs/>
          <w:color w:val="000000"/>
          <w:sz w:val="24"/>
          <w:szCs w:val="24"/>
          <w:lang w:val="es-UY" w:eastAsia="es-UY"/>
        </w:rPr>
        <w:t>enviados</w:t>
      </w:r>
      <w:r w:rsidRPr="004F769C">
        <w:rPr>
          <w:rFonts w:ascii="Arial" w:eastAsia="Times New Roman" w:hAnsi="Arial" w:cs="Arial"/>
          <w:color w:val="000000"/>
          <w:sz w:val="24"/>
          <w:szCs w:val="24"/>
          <w:lang w:val="es-UY" w:eastAsia="es-UY"/>
        </w:rPr>
        <w:t>” (= apóstoles; su palabra y testimonio no son personales sino de aquel que los ha enviado). Claro que para ello contarán con una “</w:t>
      </w:r>
      <w:r w:rsidRPr="004F769C">
        <w:rPr>
          <w:rFonts w:ascii="Arial" w:eastAsia="Times New Roman" w:hAnsi="Arial" w:cs="Arial"/>
          <w:i/>
          <w:iCs/>
          <w:color w:val="000000"/>
          <w:sz w:val="24"/>
          <w:szCs w:val="24"/>
          <w:lang w:val="es-UY" w:eastAsia="es-UY"/>
        </w:rPr>
        <w:t>Promesa</w:t>
      </w:r>
      <w:r w:rsidRPr="004F769C">
        <w:rPr>
          <w:rFonts w:ascii="Arial" w:eastAsia="Times New Roman" w:hAnsi="Arial" w:cs="Arial"/>
          <w:color w:val="000000"/>
          <w:sz w:val="24"/>
          <w:szCs w:val="24"/>
          <w:lang w:val="es-UY" w:eastAsia="es-UY"/>
        </w:rPr>
        <w:t xml:space="preserve">” (que nos queda desconocida hasta </w:t>
      </w:r>
      <w:proofErr w:type="spellStart"/>
      <w:r w:rsidRPr="004F769C">
        <w:rPr>
          <w:rFonts w:ascii="Arial" w:eastAsia="Times New Roman" w:hAnsi="Arial" w:cs="Arial"/>
          <w:color w:val="000000"/>
          <w:sz w:val="24"/>
          <w:szCs w:val="24"/>
          <w:lang w:val="es-UY" w:eastAsia="es-UY"/>
        </w:rPr>
        <w:t>Hch</w:t>
      </w:r>
      <w:proofErr w:type="spellEnd"/>
      <w:r w:rsidRPr="004F769C">
        <w:rPr>
          <w:rFonts w:ascii="Arial" w:eastAsia="Times New Roman" w:hAnsi="Arial" w:cs="Arial"/>
          <w:color w:val="000000"/>
          <w:sz w:val="24"/>
          <w:szCs w:val="24"/>
          <w:lang w:val="es-UY" w:eastAsia="es-UY"/>
        </w:rPr>
        <w:t xml:space="preserve"> 1,4), y mientras tanto deben permanecer en “</w:t>
      </w:r>
      <w:r w:rsidRPr="004F769C">
        <w:rPr>
          <w:rFonts w:ascii="Arial" w:eastAsia="Times New Roman" w:hAnsi="Arial" w:cs="Arial"/>
          <w:i/>
          <w:iCs/>
          <w:color w:val="000000"/>
          <w:sz w:val="24"/>
          <w:szCs w:val="24"/>
          <w:lang w:val="es-UY" w:eastAsia="es-UY"/>
        </w:rPr>
        <w:t>la ciudad</w:t>
      </w:r>
      <w:r w:rsidRPr="004F769C">
        <w:rPr>
          <w:rFonts w:ascii="Arial" w:eastAsia="Times New Roman" w:hAnsi="Arial" w:cs="Arial"/>
          <w:color w:val="000000"/>
          <w:sz w:val="24"/>
          <w:szCs w:val="24"/>
          <w:lang w:val="es-UY" w:eastAsia="es-UY"/>
        </w:rPr>
        <w:t>” (= Jerusalén) hasta que sean revestidos de “</w:t>
      </w:r>
      <w:r w:rsidRPr="004F769C">
        <w:rPr>
          <w:rFonts w:ascii="Arial" w:eastAsia="Times New Roman" w:hAnsi="Arial" w:cs="Arial"/>
          <w:i/>
          <w:iCs/>
          <w:color w:val="000000"/>
          <w:sz w:val="24"/>
          <w:szCs w:val="24"/>
          <w:lang w:val="es-UY" w:eastAsia="es-UY"/>
        </w:rPr>
        <w:t>poder</w:t>
      </w:r>
      <w:r w:rsidRPr="004F769C">
        <w:rPr>
          <w:rFonts w:ascii="Arial" w:eastAsia="Times New Roman" w:hAnsi="Arial" w:cs="Arial"/>
          <w:color w:val="000000"/>
          <w:sz w:val="24"/>
          <w:szCs w:val="24"/>
          <w:lang w:val="es-UY" w:eastAsia="es-UY"/>
        </w:rPr>
        <w:t>”. En el texto griego, el sustantivo </w:t>
      </w:r>
      <w:proofErr w:type="spellStart"/>
      <w:r w:rsidRPr="004F769C">
        <w:rPr>
          <w:rFonts w:ascii="Arial" w:eastAsia="Times New Roman" w:hAnsi="Arial" w:cs="Arial"/>
          <w:i/>
          <w:iCs/>
          <w:color w:val="000000"/>
          <w:sz w:val="24"/>
          <w:szCs w:val="24"/>
          <w:lang w:val="es-UY" w:eastAsia="es-UY"/>
        </w:rPr>
        <w:t>dynamis</w:t>
      </w:r>
      <w:proofErr w:type="spellEnd"/>
      <w:r w:rsidRPr="004F769C">
        <w:rPr>
          <w:rFonts w:ascii="Arial" w:eastAsia="Times New Roman" w:hAnsi="Arial" w:cs="Arial"/>
          <w:i/>
          <w:iCs/>
          <w:color w:val="000000"/>
          <w:sz w:val="24"/>
          <w:szCs w:val="24"/>
          <w:lang w:val="es-UY" w:eastAsia="es-UY"/>
        </w:rPr>
        <w:t> </w:t>
      </w:r>
      <w:r w:rsidRPr="004F769C">
        <w:rPr>
          <w:rFonts w:ascii="Arial" w:eastAsia="Times New Roman" w:hAnsi="Arial" w:cs="Arial"/>
          <w:color w:val="000000"/>
          <w:sz w:val="24"/>
          <w:szCs w:val="24"/>
          <w:lang w:val="es-UY" w:eastAsia="es-UY"/>
        </w:rPr>
        <w:t xml:space="preserve">está colocado en posición enfática por estar al final de la frase. Sobre la idea de «fuerza» (o «poder») durante el ministerio público de Jesús, cf. </w:t>
      </w:r>
      <w:proofErr w:type="spellStart"/>
      <w:r w:rsidRPr="004F769C">
        <w:rPr>
          <w:rFonts w:ascii="Arial" w:eastAsia="Times New Roman" w:hAnsi="Arial" w:cs="Arial"/>
          <w:color w:val="000000"/>
          <w:sz w:val="24"/>
          <w:szCs w:val="24"/>
          <w:lang w:val="es-UY" w:eastAsia="es-UY"/>
        </w:rPr>
        <w:t>Lc</w:t>
      </w:r>
      <w:proofErr w:type="spellEnd"/>
      <w:r w:rsidRPr="004F769C">
        <w:rPr>
          <w:rFonts w:ascii="Arial" w:eastAsia="Times New Roman" w:hAnsi="Arial" w:cs="Arial"/>
          <w:color w:val="000000"/>
          <w:sz w:val="24"/>
          <w:szCs w:val="24"/>
          <w:lang w:val="es-UY" w:eastAsia="es-UY"/>
        </w:rPr>
        <w:t xml:space="preserve"> 4,14; 5,17; 9,1; ver también </w:t>
      </w:r>
      <w:proofErr w:type="spellStart"/>
      <w:r w:rsidRPr="004F769C">
        <w:rPr>
          <w:rFonts w:ascii="Arial" w:eastAsia="Times New Roman" w:hAnsi="Arial" w:cs="Arial"/>
          <w:color w:val="000000"/>
          <w:sz w:val="24"/>
          <w:szCs w:val="24"/>
          <w:lang w:val="es-UY" w:eastAsia="es-UY"/>
        </w:rPr>
        <w:t>Is</w:t>
      </w:r>
      <w:proofErr w:type="spellEnd"/>
      <w:r w:rsidRPr="004F769C">
        <w:rPr>
          <w:rFonts w:ascii="Arial" w:eastAsia="Times New Roman" w:hAnsi="Arial" w:cs="Arial"/>
          <w:color w:val="000000"/>
          <w:sz w:val="24"/>
          <w:szCs w:val="24"/>
          <w:lang w:val="es-UY" w:eastAsia="es-UY"/>
        </w:rPr>
        <w:t xml:space="preserve"> 32,15: «Cuando se derrame sobre nosotros un aliento de lo alto»; </w:t>
      </w:r>
      <w:proofErr w:type="spellStart"/>
      <w:r w:rsidRPr="004F769C">
        <w:rPr>
          <w:rFonts w:ascii="Arial" w:eastAsia="Times New Roman" w:hAnsi="Arial" w:cs="Arial"/>
          <w:color w:val="000000"/>
          <w:sz w:val="24"/>
          <w:szCs w:val="24"/>
          <w:lang w:val="es-UY" w:eastAsia="es-UY"/>
        </w:rPr>
        <w:t>Sab</w:t>
      </w:r>
      <w:proofErr w:type="spellEnd"/>
      <w:r w:rsidRPr="004F769C">
        <w:rPr>
          <w:rFonts w:ascii="Arial" w:eastAsia="Times New Roman" w:hAnsi="Arial" w:cs="Arial"/>
          <w:color w:val="000000"/>
          <w:sz w:val="24"/>
          <w:szCs w:val="24"/>
          <w:lang w:val="es-UY" w:eastAsia="es-UY"/>
        </w:rPr>
        <w:t xml:space="preserve"> 9,17: «¿Quién conocerá tu designio, si tú no le das la sabiduría enviando tu santo espíritu desde el cielo?».</w:t>
      </w:r>
    </w:p>
    <w:p w14:paraId="095E82EA"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09D1041B"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A continuación el texto concluye (vv.50-53) con un movimiento de salida, acompañado de una </w:t>
      </w:r>
      <w:r w:rsidRPr="004F769C">
        <w:rPr>
          <w:rFonts w:ascii="Arial" w:eastAsia="Times New Roman" w:hAnsi="Arial" w:cs="Arial"/>
          <w:i/>
          <w:iCs/>
          <w:color w:val="000000"/>
          <w:sz w:val="24"/>
          <w:szCs w:val="24"/>
          <w:lang w:val="es-UY" w:eastAsia="es-UY"/>
        </w:rPr>
        <w:t>bendición</w:t>
      </w:r>
      <w:r w:rsidRPr="004F769C">
        <w:rPr>
          <w:rFonts w:ascii="Arial" w:eastAsia="Times New Roman" w:hAnsi="Arial" w:cs="Arial"/>
          <w:color w:val="000000"/>
          <w:sz w:val="24"/>
          <w:szCs w:val="24"/>
          <w:lang w:val="es-UY" w:eastAsia="es-UY"/>
        </w:rPr>
        <w:t> (el Evangelio empieza y culmina con una bendición, 1,42.64), Jesús es elevado y “</w:t>
      </w:r>
      <w:r w:rsidRPr="004F769C">
        <w:rPr>
          <w:rFonts w:ascii="Arial" w:eastAsia="Times New Roman" w:hAnsi="Arial" w:cs="Arial"/>
          <w:i/>
          <w:iCs/>
          <w:color w:val="000000"/>
          <w:sz w:val="24"/>
          <w:szCs w:val="24"/>
          <w:lang w:val="es-UY" w:eastAsia="es-UY"/>
        </w:rPr>
        <w:t>ellos… volvieron a Jerusalén con gran alegría</w:t>
      </w:r>
      <w:r w:rsidRPr="004F769C">
        <w:rPr>
          <w:rFonts w:ascii="Arial" w:eastAsia="Times New Roman" w:hAnsi="Arial" w:cs="Arial"/>
          <w:color w:val="000000"/>
          <w:sz w:val="24"/>
          <w:szCs w:val="24"/>
          <w:lang w:val="es-UY" w:eastAsia="es-UY"/>
        </w:rPr>
        <w:t>” (v.52). Las dudas han desaparecido, la misión está por comenzar.</w:t>
      </w:r>
    </w:p>
    <w:p w14:paraId="32974305"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6FF2EE08"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shd w:val="clear" w:color="auto" w:fill="FFFF00"/>
          <w:lang w:val="es-UY" w:eastAsia="es-UY"/>
        </w:rPr>
        <w:t>Video con comentario al Evangelio en  </w:t>
      </w:r>
      <w:hyperlink r:id="rId5" w:tgtFrame="_blank" w:history="1">
        <w:r w:rsidRPr="004F769C">
          <w:rPr>
            <w:rFonts w:ascii="Times New Roman" w:eastAsia="Times New Roman" w:hAnsi="Times New Roman" w:cs="Times New Roman"/>
            <w:color w:val="1155CC"/>
            <w:sz w:val="27"/>
            <w:szCs w:val="27"/>
            <w:u w:val="single"/>
            <w:shd w:val="clear" w:color="auto" w:fill="FFFF00"/>
            <w:lang w:val="es-UY" w:eastAsia="es-UY"/>
          </w:rPr>
          <w:t>https://youtu.be/HfPaW8xZPLU</w:t>
        </w:r>
      </w:hyperlink>
    </w:p>
    <w:p w14:paraId="55A2933A"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Times New Roman" w:eastAsia="Times New Roman" w:hAnsi="Times New Roman" w:cs="Times New Roman"/>
          <w:color w:val="000000"/>
          <w:sz w:val="27"/>
          <w:szCs w:val="27"/>
          <w:lang w:val="es-UY" w:eastAsia="es-UY"/>
        </w:rPr>
        <w:t> </w:t>
      </w:r>
    </w:p>
    <w:p w14:paraId="58F70EAE" w14:textId="77777777" w:rsidR="004F769C" w:rsidRPr="004F769C" w:rsidRDefault="004F769C" w:rsidP="004F769C">
      <w:pPr>
        <w:shd w:val="clear" w:color="auto" w:fill="FFFFFF"/>
        <w:spacing w:after="0" w:line="240" w:lineRule="auto"/>
        <w:jc w:val="both"/>
        <w:rPr>
          <w:rFonts w:ascii="Arial" w:eastAsia="Times New Roman" w:hAnsi="Arial" w:cs="Arial"/>
          <w:color w:val="222222"/>
          <w:sz w:val="24"/>
          <w:szCs w:val="24"/>
          <w:lang w:val="es-UY" w:eastAsia="es-UY"/>
        </w:rPr>
      </w:pPr>
      <w:r w:rsidRPr="004F769C">
        <w:rPr>
          <w:rFonts w:ascii="Arial" w:eastAsia="Times New Roman" w:hAnsi="Arial" w:cs="Arial"/>
          <w:color w:val="000000"/>
          <w:sz w:val="24"/>
          <w:szCs w:val="24"/>
          <w:lang w:val="es-UY" w:eastAsia="es-UY"/>
        </w:rPr>
        <w:t>Foto tomada de</w:t>
      </w:r>
      <w:r w:rsidRPr="004F769C">
        <w:rPr>
          <w:rFonts w:ascii="Arial" w:eastAsia="Times New Roman" w:hAnsi="Arial" w:cs="Arial"/>
          <w:color w:val="000000"/>
          <w:sz w:val="27"/>
          <w:szCs w:val="27"/>
          <w:lang w:val="es-UY" w:eastAsia="es-UY"/>
        </w:rPr>
        <w:t> </w:t>
      </w:r>
      <w:hyperlink r:id="rId6" w:tgtFrame="_blank" w:history="1">
        <w:r w:rsidRPr="004F769C">
          <w:rPr>
            <w:rFonts w:ascii="Arial" w:eastAsia="Times New Roman" w:hAnsi="Arial" w:cs="Arial"/>
            <w:color w:val="1155CC"/>
            <w:sz w:val="27"/>
            <w:szCs w:val="27"/>
            <w:u w:val="single"/>
            <w:lang w:val="es-UY" w:eastAsia="es-UY"/>
          </w:rPr>
          <w:t>fp.reverso.net</w:t>
        </w:r>
      </w:hyperlink>
    </w:p>
    <w:p w14:paraId="18FB17A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9C"/>
    <w:rsid w:val="002E2F5B"/>
    <w:rsid w:val="004F76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FAFB"/>
  <w15:chartTrackingRefBased/>
  <w15:docId w15:val="{56DCEE45-3F96-4245-854E-A80DA521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477331925342370781?hl=es" TargetMode="External"/><Relationship Id="rId5" Type="http://schemas.openxmlformats.org/officeDocument/2006/relationships/hyperlink" Target="https://youtu.be/HfPaW8xZPLU"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3058</Words>
  <Characters>16821</Characters>
  <Application>Microsoft Office Word</Application>
  <DocSecurity>0</DocSecurity>
  <Lines>140</Lines>
  <Paragraphs>39</Paragraphs>
  <ScaleCrop>false</ScaleCrop>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2021-04-13T21:31:00Z</dcterms:created>
  <dcterms:modified xsi:type="dcterms:W3CDTF">2021-04-13T21:33:00Z</dcterms:modified>
</cp:coreProperties>
</file>