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A91C" w14:textId="77777777" w:rsidR="008319F8" w:rsidRPr="008319F8" w:rsidRDefault="008319F8" w:rsidP="008319F8">
      <w:pPr>
        <w:spacing w:after="240" w:line="600" w:lineRule="atLeast"/>
        <w:jc w:val="center"/>
        <w:rPr>
          <w:rFonts w:ascii="Arial" w:eastAsia="Times New Roman" w:hAnsi="Arial" w:cs="Arial"/>
          <w:color w:val="000000"/>
          <w:sz w:val="39"/>
          <w:szCs w:val="39"/>
          <w:lang w:val="es-UY" w:eastAsia="es-UY"/>
        </w:rPr>
      </w:pPr>
      <w:r w:rsidRPr="008319F8">
        <w:rPr>
          <w:rFonts w:ascii="Arial" w:eastAsia="Times New Roman" w:hAnsi="Arial" w:cs="Arial"/>
          <w:b/>
          <w:bCs/>
          <w:color w:val="000000"/>
          <w:sz w:val="39"/>
          <w:szCs w:val="39"/>
          <w:lang w:val="es-UY" w:eastAsia="es-UY"/>
        </w:rPr>
        <w:t>Curso en línea: Coherencias entre la iniciación cristiana</w:t>
      </w:r>
      <w:r w:rsidRPr="008319F8">
        <w:rPr>
          <w:rFonts w:ascii="Arial" w:eastAsia="Times New Roman" w:hAnsi="Arial" w:cs="Arial"/>
          <w:b/>
          <w:bCs/>
          <w:color w:val="000000"/>
          <w:sz w:val="39"/>
          <w:szCs w:val="39"/>
          <w:lang w:val="es-UY" w:eastAsia="es-UY"/>
        </w:rPr>
        <w:br/>
        <w:t>y la iniciación amazónica</w:t>
      </w:r>
    </w:p>
    <w:tbl>
      <w:tblPr>
        <w:tblpPr w:leftFromText="45" w:rightFromText="45" w:vertAnchor="text" w:tblpXSpec="right" w:tblpYSpec="center"/>
        <w:tblW w:w="0" w:type="auto"/>
        <w:tblCellSpacing w:w="0" w:type="dxa"/>
        <w:shd w:val="clear" w:color="auto" w:fill="FEFFFF"/>
        <w:tblCellMar>
          <w:left w:w="0" w:type="dxa"/>
          <w:right w:w="0" w:type="dxa"/>
        </w:tblCellMar>
        <w:tblLook w:val="04A0" w:firstRow="1" w:lastRow="0" w:firstColumn="1" w:lastColumn="0" w:noHBand="0" w:noVBand="1"/>
      </w:tblPr>
      <w:tblGrid>
        <w:gridCol w:w="6976"/>
      </w:tblGrid>
      <w:tr w:rsidR="008319F8" w:rsidRPr="008319F8" w14:paraId="5C002FE2" w14:textId="77777777" w:rsidTr="008319F8">
        <w:trPr>
          <w:tblCellSpacing w:w="0" w:type="dxa"/>
        </w:trPr>
        <w:tc>
          <w:tcPr>
            <w:tcW w:w="0" w:type="auto"/>
            <w:shd w:val="clear" w:color="auto" w:fill="FEFFFF"/>
            <w:tcMar>
              <w:top w:w="30" w:type="dxa"/>
              <w:left w:w="150" w:type="dxa"/>
              <w:bottom w:w="30" w:type="dxa"/>
              <w:right w:w="3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6780"/>
            </w:tblGrid>
            <w:tr w:rsidR="008319F8" w:rsidRPr="008319F8" w14:paraId="31EE0E75" w14:textId="77777777">
              <w:trPr>
                <w:tblCellSpacing w:w="0" w:type="dxa"/>
                <w:jc w:val="center"/>
              </w:trPr>
              <w:tc>
                <w:tcPr>
                  <w:tcW w:w="0" w:type="auto"/>
                  <w:tcBorders>
                    <w:top w:val="single" w:sz="6" w:space="0" w:color="94571A"/>
                    <w:left w:val="single" w:sz="6" w:space="0" w:color="94571A"/>
                    <w:bottom w:val="single" w:sz="6" w:space="0" w:color="94571A"/>
                    <w:right w:val="single" w:sz="6" w:space="0" w:color="94571A"/>
                  </w:tcBorders>
                  <w:shd w:val="clear" w:color="auto" w:fill="auto"/>
                  <w:vAlign w:val="center"/>
                  <w:hideMark/>
                </w:tcPr>
                <w:p w14:paraId="7E558576" w14:textId="77777777" w:rsidR="008319F8" w:rsidRPr="008319F8" w:rsidRDefault="008319F8" w:rsidP="008319F8">
                  <w:pPr>
                    <w:framePr w:hSpace="45" w:wrap="around" w:vAnchor="text" w:hAnchor="text" w:xAlign="right" w:yAlign="center"/>
                    <w:spacing w:after="0" w:line="240" w:lineRule="auto"/>
                    <w:jc w:val="both"/>
                    <w:rPr>
                      <w:rFonts w:ascii="Helvetica" w:eastAsia="Times New Roman" w:hAnsi="Helvetica" w:cs="Helvetica"/>
                      <w:sz w:val="24"/>
                      <w:szCs w:val="24"/>
                      <w:lang w:val="es-UY" w:eastAsia="es-UY"/>
                    </w:rPr>
                  </w:pPr>
                  <w:r w:rsidRPr="008319F8">
                    <w:rPr>
                      <w:rFonts w:ascii="Helvetica" w:eastAsia="Times New Roman" w:hAnsi="Helvetica" w:cs="Helvetica"/>
                      <w:noProof/>
                      <w:color w:val="1155CC"/>
                      <w:sz w:val="24"/>
                      <w:szCs w:val="24"/>
                      <w:lang w:val="es-UY" w:eastAsia="es-UY"/>
                    </w:rPr>
                    <w:drawing>
                      <wp:inline distT="0" distB="0" distL="0" distR="0" wp14:anchorId="369D32E0" wp14:editId="47B5998F">
                        <wp:extent cx="4286250" cy="2381250"/>
                        <wp:effectExtent l="0" t="0" r="0" b="0"/>
                        <wp:docPr id="1" name="Imagen 1" descr="Pantalla de computadora con imágen de hombre&#10;&#10;Descripción generada automáticamente con confianza media">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antalla de computadora con imágen de hombre&#10;&#10;Descripción generada automáticamente con confianza media">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2381250"/>
                                </a:xfrm>
                                <a:prstGeom prst="rect">
                                  <a:avLst/>
                                </a:prstGeom>
                                <a:noFill/>
                                <a:ln>
                                  <a:noFill/>
                                </a:ln>
                              </pic:spPr>
                            </pic:pic>
                          </a:graphicData>
                        </a:graphic>
                      </wp:inline>
                    </w:drawing>
                  </w:r>
                </w:p>
              </w:tc>
            </w:tr>
          </w:tbl>
          <w:p w14:paraId="14AD6B75" w14:textId="77777777" w:rsidR="008319F8" w:rsidRPr="008319F8" w:rsidRDefault="008319F8" w:rsidP="008319F8">
            <w:pPr>
              <w:spacing w:after="0" w:line="240" w:lineRule="auto"/>
              <w:jc w:val="both"/>
              <w:rPr>
                <w:rFonts w:ascii="Helvetica" w:eastAsia="Times New Roman" w:hAnsi="Helvetica" w:cs="Helvetica"/>
                <w:color w:val="222222"/>
                <w:sz w:val="24"/>
                <w:szCs w:val="24"/>
                <w:lang w:val="es-UY" w:eastAsia="es-UY"/>
              </w:rPr>
            </w:pPr>
          </w:p>
        </w:tc>
      </w:tr>
    </w:tbl>
    <w:p w14:paraId="0E39DCC7" w14:textId="77777777" w:rsidR="008319F8" w:rsidRPr="008319F8" w:rsidRDefault="008319F8" w:rsidP="008319F8">
      <w:pPr>
        <w:spacing w:after="240" w:line="375" w:lineRule="atLeast"/>
        <w:jc w:val="right"/>
        <w:rPr>
          <w:rFonts w:ascii="Arial" w:eastAsia="Times New Roman" w:hAnsi="Arial" w:cs="Arial"/>
          <w:color w:val="000000"/>
          <w:sz w:val="24"/>
          <w:szCs w:val="24"/>
          <w:lang w:val="es-UY" w:eastAsia="es-UY"/>
        </w:rPr>
      </w:pPr>
      <w:r w:rsidRPr="008319F8">
        <w:rPr>
          <w:rFonts w:ascii="Arial" w:eastAsia="Times New Roman" w:hAnsi="Arial" w:cs="Arial"/>
          <w:color w:val="000000"/>
          <w:sz w:val="24"/>
          <w:szCs w:val="24"/>
          <w:lang w:val="es-UY" w:eastAsia="es-UY"/>
        </w:rPr>
        <w:t>Queridos amigos, queremos invitarlos a inscribirse al curso en línea “</w:t>
      </w:r>
      <w:hyperlink r:id="rId6" w:tgtFrame="_blank" w:history="1">
        <w:r w:rsidRPr="008319F8">
          <w:rPr>
            <w:rFonts w:ascii="Arial" w:eastAsia="Times New Roman" w:hAnsi="Arial" w:cs="Arial"/>
            <w:b/>
            <w:bCs/>
            <w:color w:val="C28607"/>
            <w:sz w:val="24"/>
            <w:szCs w:val="24"/>
            <w:lang w:val="es-UY" w:eastAsia="es-UY"/>
          </w:rPr>
          <w:t>Coherencias entre la iniciación cristiana y la iniciación amazónica</w:t>
        </w:r>
      </w:hyperlink>
      <w:r w:rsidRPr="008319F8">
        <w:rPr>
          <w:rFonts w:ascii="Arial" w:eastAsia="Times New Roman" w:hAnsi="Arial" w:cs="Arial"/>
          <w:color w:val="000000"/>
          <w:sz w:val="24"/>
          <w:szCs w:val="24"/>
          <w:lang w:val="es-UY" w:eastAsia="es-UY"/>
        </w:rPr>
        <w:t xml:space="preserve">” dictado por el Dr. Jacques </w:t>
      </w:r>
      <w:proofErr w:type="spellStart"/>
      <w:r w:rsidRPr="008319F8">
        <w:rPr>
          <w:rFonts w:ascii="Arial" w:eastAsia="Times New Roman" w:hAnsi="Arial" w:cs="Arial"/>
          <w:color w:val="000000"/>
          <w:sz w:val="24"/>
          <w:szCs w:val="24"/>
          <w:lang w:val="es-UY" w:eastAsia="es-UY"/>
        </w:rPr>
        <w:t>Mabit</w:t>
      </w:r>
      <w:proofErr w:type="spellEnd"/>
      <w:r w:rsidRPr="008319F8">
        <w:rPr>
          <w:rFonts w:ascii="Arial" w:eastAsia="Times New Roman" w:hAnsi="Arial" w:cs="Arial"/>
          <w:color w:val="000000"/>
          <w:sz w:val="24"/>
          <w:szCs w:val="24"/>
          <w:lang w:val="es-UY" w:eastAsia="es-UY"/>
        </w:rPr>
        <w:t xml:space="preserve">, presidente ejecutivo y fundador del Centro </w:t>
      </w:r>
      <w:proofErr w:type="spellStart"/>
      <w:r w:rsidRPr="008319F8">
        <w:rPr>
          <w:rFonts w:ascii="Arial" w:eastAsia="Times New Roman" w:hAnsi="Arial" w:cs="Arial"/>
          <w:color w:val="000000"/>
          <w:sz w:val="24"/>
          <w:szCs w:val="24"/>
          <w:lang w:val="es-UY" w:eastAsia="es-UY"/>
        </w:rPr>
        <w:t>Takiwasi</w:t>
      </w:r>
      <w:proofErr w:type="spellEnd"/>
      <w:r w:rsidRPr="008319F8">
        <w:rPr>
          <w:rFonts w:ascii="Arial" w:eastAsia="Times New Roman" w:hAnsi="Arial" w:cs="Arial"/>
          <w:color w:val="000000"/>
          <w:sz w:val="24"/>
          <w:szCs w:val="24"/>
          <w:lang w:val="es-UY" w:eastAsia="es-UY"/>
        </w:rPr>
        <w:t>.</w:t>
      </w:r>
    </w:p>
    <w:p w14:paraId="3882961C" w14:textId="77777777" w:rsidR="008319F8" w:rsidRDefault="008319F8" w:rsidP="008319F8">
      <w:pPr>
        <w:spacing w:after="240" w:line="375" w:lineRule="atLeast"/>
        <w:jc w:val="both"/>
        <w:rPr>
          <w:rFonts w:ascii="Arial" w:eastAsia="Times New Roman" w:hAnsi="Arial" w:cs="Arial"/>
          <w:b/>
          <w:bCs/>
          <w:i/>
          <w:iCs/>
          <w:color w:val="000000"/>
          <w:sz w:val="24"/>
          <w:szCs w:val="24"/>
          <w:lang w:val="es-UY" w:eastAsia="es-UY"/>
        </w:rPr>
      </w:pPr>
      <w:r w:rsidRPr="008319F8">
        <w:rPr>
          <w:rFonts w:ascii="Arial" w:eastAsia="Times New Roman" w:hAnsi="Arial" w:cs="Arial"/>
          <w:b/>
          <w:bCs/>
          <w:i/>
          <w:iCs/>
          <w:color w:val="000000"/>
          <w:sz w:val="24"/>
          <w:szCs w:val="24"/>
          <w:lang w:val="es-UY" w:eastAsia="es-UY"/>
        </w:rPr>
        <w:t>Presentación del curso</w:t>
      </w:r>
    </w:p>
    <w:p w14:paraId="5CD77271" w14:textId="4A97B188" w:rsidR="008319F8" w:rsidRPr="008319F8" w:rsidRDefault="008319F8" w:rsidP="008319F8">
      <w:pPr>
        <w:spacing w:after="240" w:line="375" w:lineRule="atLeast"/>
        <w:jc w:val="both"/>
        <w:rPr>
          <w:rFonts w:ascii="Arial" w:eastAsia="Times New Roman" w:hAnsi="Arial" w:cs="Arial"/>
          <w:color w:val="000000"/>
          <w:sz w:val="24"/>
          <w:szCs w:val="24"/>
          <w:lang w:val="es-UY" w:eastAsia="es-UY"/>
        </w:rPr>
      </w:pPr>
      <w:r w:rsidRPr="008319F8">
        <w:rPr>
          <w:rFonts w:ascii="Arial" w:eastAsia="Times New Roman" w:hAnsi="Arial" w:cs="Arial"/>
          <w:color w:val="000000"/>
          <w:sz w:val="24"/>
          <w:szCs w:val="24"/>
          <w:lang w:val="es-UY" w:eastAsia="es-UY"/>
        </w:rPr>
        <w:br/>
        <w:t xml:space="preserve">El acercamiento a las medicinas tradicionales amazónicas por parte de occidentales se concibe muchas veces desde una reacción negativa hacia sus propias raíces cristianas, sea por ignorancia del contenido auténtico de la fe cristiana, insatisfacción por las enseñanzas o ejemplos de creyentes, o rechazo a la estructura eclesial percibida como moralista y dogmática. De manera paradójica, la sabiduría ancestral manda recibir las herencias de los antepasados, aceptarlas y reconciliarse con ellas. La experiencia del Centro </w:t>
      </w:r>
      <w:proofErr w:type="spellStart"/>
      <w:r w:rsidRPr="008319F8">
        <w:rPr>
          <w:rFonts w:ascii="Arial" w:eastAsia="Times New Roman" w:hAnsi="Arial" w:cs="Arial"/>
          <w:color w:val="000000"/>
          <w:sz w:val="24"/>
          <w:szCs w:val="24"/>
          <w:lang w:val="es-UY" w:eastAsia="es-UY"/>
        </w:rPr>
        <w:t>Takiwasi</w:t>
      </w:r>
      <w:proofErr w:type="spellEnd"/>
      <w:r w:rsidRPr="008319F8">
        <w:rPr>
          <w:rFonts w:ascii="Arial" w:eastAsia="Times New Roman" w:hAnsi="Arial" w:cs="Arial"/>
          <w:color w:val="000000"/>
          <w:sz w:val="24"/>
          <w:szCs w:val="24"/>
          <w:lang w:val="es-UY" w:eastAsia="es-UY"/>
        </w:rPr>
        <w:t xml:space="preserve"> nos demuestra que no solamente no existen contradicciones fundamentales entre la fe cristiana y el chamanismo amazónico (correctamente entendido y practicado) sino más bien numerosas y sorprendentes coherencias y convergencias, tanto en la práctica como en las referencias de las Escrituras. Este curso intenta poner de relieve la pertinencia en acercar esas dos vías de conocimiento y articularlas de manera adecuada en pro de la apertura de nuevos caminos para la sanación del cuerpo, la mente y el espíritu.</w:t>
      </w:r>
    </w:p>
    <w:p w14:paraId="504E4313" w14:textId="77777777" w:rsidR="008319F8" w:rsidRPr="008319F8" w:rsidRDefault="008319F8" w:rsidP="008319F8">
      <w:pPr>
        <w:spacing w:after="240" w:line="375" w:lineRule="atLeast"/>
        <w:jc w:val="both"/>
        <w:rPr>
          <w:rFonts w:ascii="Arial" w:eastAsia="Times New Roman" w:hAnsi="Arial" w:cs="Arial"/>
          <w:color w:val="000000"/>
          <w:sz w:val="24"/>
          <w:szCs w:val="24"/>
          <w:lang w:val="es-UY" w:eastAsia="es-UY"/>
        </w:rPr>
      </w:pPr>
      <w:r w:rsidRPr="008319F8">
        <w:rPr>
          <w:rFonts w:ascii="Arial" w:eastAsia="Times New Roman" w:hAnsi="Arial" w:cs="Arial"/>
          <w:b/>
          <w:bCs/>
          <w:i/>
          <w:iCs/>
          <w:color w:val="000000"/>
          <w:sz w:val="24"/>
          <w:szCs w:val="24"/>
          <w:lang w:val="es-UY" w:eastAsia="es-UY"/>
        </w:rPr>
        <w:lastRenderedPageBreak/>
        <w:t>Estructura y duración del curso</w:t>
      </w:r>
      <w:r w:rsidRPr="008319F8">
        <w:rPr>
          <w:rFonts w:ascii="Arial" w:eastAsia="Times New Roman" w:hAnsi="Arial" w:cs="Arial"/>
          <w:b/>
          <w:bCs/>
          <w:i/>
          <w:iCs/>
          <w:color w:val="000000"/>
          <w:sz w:val="24"/>
          <w:szCs w:val="24"/>
          <w:lang w:val="es-UY" w:eastAsia="es-UY"/>
        </w:rPr>
        <w:br/>
      </w:r>
      <w:r w:rsidRPr="008319F8">
        <w:rPr>
          <w:rFonts w:ascii="Arial" w:eastAsia="Times New Roman" w:hAnsi="Arial" w:cs="Arial"/>
          <w:color w:val="000000"/>
          <w:sz w:val="24"/>
          <w:szCs w:val="24"/>
          <w:lang w:val="es-UY" w:eastAsia="es-UY"/>
        </w:rPr>
        <w:t>El curso está estructurado en cinco partes:</w:t>
      </w:r>
      <w:r w:rsidRPr="008319F8">
        <w:rPr>
          <w:rFonts w:ascii="Arial" w:eastAsia="Times New Roman" w:hAnsi="Arial" w:cs="Arial"/>
          <w:color w:val="000000"/>
          <w:sz w:val="24"/>
          <w:szCs w:val="24"/>
          <w:lang w:val="es-UY" w:eastAsia="es-UY"/>
        </w:rPr>
        <w:br/>
        <w:t>     - Parte 1. ¿De qué cristianismo y de qué chamanismo hablamos? – </w:t>
      </w:r>
      <w:r w:rsidRPr="008319F8">
        <w:rPr>
          <w:rFonts w:ascii="Arial" w:eastAsia="Times New Roman" w:hAnsi="Arial" w:cs="Arial"/>
          <w:i/>
          <w:iCs/>
          <w:color w:val="000000"/>
          <w:sz w:val="24"/>
          <w:szCs w:val="24"/>
          <w:lang w:val="es-UY" w:eastAsia="es-UY"/>
        </w:rPr>
        <w:t>1 hora 13 minutos.</w:t>
      </w:r>
      <w:r w:rsidRPr="008319F8">
        <w:rPr>
          <w:rFonts w:ascii="Arial" w:eastAsia="Times New Roman" w:hAnsi="Arial" w:cs="Arial"/>
          <w:color w:val="000000"/>
          <w:sz w:val="24"/>
          <w:szCs w:val="24"/>
          <w:lang w:val="es-UY" w:eastAsia="es-UY"/>
        </w:rPr>
        <w:br/>
        <w:t>     - Parte 2. La clínica de nuestra práctica terapéutica 1/2 – </w:t>
      </w:r>
      <w:r w:rsidRPr="008319F8">
        <w:rPr>
          <w:rFonts w:ascii="Arial" w:eastAsia="Times New Roman" w:hAnsi="Arial" w:cs="Arial"/>
          <w:i/>
          <w:iCs/>
          <w:color w:val="000000"/>
          <w:sz w:val="24"/>
          <w:szCs w:val="24"/>
          <w:lang w:val="es-UY" w:eastAsia="es-UY"/>
        </w:rPr>
        <w:t>1 hora 20 minutos.</w:t>
      </w:r>
      <w:r w:rsidRPr="008319F8">
        <w:rPr>
          <w:rFonts w:ascii="Arial" w:eastAsia="Times New Roman" w:hAnsi="Arial" w:cs="Arial"/>
          <w:i/>
          <w:iCs/>
          <w:color w:val="000000"/>
          <w:sz w:val="24"/>
          <w:szCs w:val="24"/>
          <w:lang w:val="es-UY" w:eastAsia="es-UY"/>
        </w:rPr>
        <w:br/>
        <w:t>     -</w:t>
      </w:r>
      <w:r w:rsidRPr="008319F8">
        <w:rPr>
          <w:rFonts w:ascii="Arial" w:eastAsia="Times New Roman" w:hAnsi="Arial" w:cs="Arial"/>
          <w:color w:val="000000"/>
          <w:sz w:val="24"/>
          <w:szCs w:val="24"/>
          <w:lang w:val="es-UY" w:eastAsia="es-UY"/>
        </w:rPr>
        <w:t> Parte 3. La clínica de nuestra práctica terapéutica 2/2 – </w:t>
      </w:r>
      <w:r w:rsidRPr="008319F8">
        <w:rPr>
          <w:rFonts w:ascii="Arial" w:eastAsia="Times New Roman" w:hAnsi="Arial" w:cs="Arial"/>
          <w:i/>
          <w:iCs/>
          <w:color w:val="000000"/>
          <w:sz w:val="24"/>
          <w:szCs w:val="24"/>
          <w:lang w:val="es-UY" w:eastAsia="es-UY"/>
        </w:rPr>
        <w:t>1 hora 17 minutos</w:t>
      </w:r>
      <w:r w:rsidRPr="008319F8">
        <w:rPr>
          <w:rFonts w:ascii="Arial" w:eastAsia="Times New Roman" w:hAnsi="Arial" w:cs="Arial"/>
          <w:color w:val="000000"/>
          <w:sz w:val="24"/>
          <w:szCs w:val="24"/>
          <w:lang w:val="es-UY" w:eastAsia="es-UY"/>
        </w:rPr>
        <w:t>. </w:t>
      </w:r>
      <w:r w:rsidRPr="008319F8">
        <w:rPr>
          <w:rFonts w:ascii="Arial" w:eastAsia="Times New Roman" w:hAnsi="Arial" w:cs="Arial"/>
          <w:color w:val="000000"/>
          <w:sz w:val="24"/>
          <w:szCs w:val="24"/>
          <w:lang w:val="es-UY" w:eastAsia="es-UY"/>
        </w:rPr>
        <w:br/>
        <w:t>     - Parte 4. Puntos de encuentro entre chamanismo y cristianismo 1/2 – </w:t>
      </w:r>
      <w:r w:rsidRPr="008319F8">
        <w:rPr>
          <w:rFonts w:ascii="Arial" w:eastAsia="Times New Roman" w:hAnsi="Arial" w:cs="Arial"/>
          <w:i/>
          <w:iCs/>
          <w:color w:val="000000"/>
          <w:sz w:val="24"/>
          <w:szCs w:val="24"/>
          <w:lang w:val="es-UY" w:eastAsia="es-UY"/>
        </w:rPr>
        <w:t>1 hora 15 minutos.</w:t>
      </w:r>
      <w:r w:rsidRPr="008319F8">
        <w:rPr>
          <w:rFonts w:ascii="Arial" w:eastAsia="Times New Roman" w:hAnsi="Arial" w:cs="Arial"/>
          <w:color w:val="000000"/>
          <w:sz w:val="24"/>
          <w:szCs w:val="24"/>
          <w:lang w:val="es-UY" w:eastAsia="es-UY"/>
        </w:rPr>
        <w:br/>
        <w:t>     - Parte 5. Puntos de encuentro entre chamanismo y cristianismo 2/2 – </w:t>
      </w:r>
      <w:r w:rsidRPr="008319F8">
        <w:rPr>
          <w:rFonts w:ascii="Arial" w:eastAsia="Times New Roman" w:hAnsi="Arial" w:cs="Arial"/>
          <w:i/>
          <w:iCs/>
          <w:color w:val="000000"/>
          <w:sz w:val="24"/>
          <w:szCs w:val="24"/>
          <w:lang w:val="es-UY" w:eastAsia="es-UY"/>
        </w:rPr>
        <w:t>1 hora 15 minutos</w:t>
      </w:r>
      <w:r w:rsidRPr="008319F8">
        <w:rPr>
          <w:rFonts w:ascii="Arial" w:eastAsia="Times New Roman" w:hAnsi="Arial" w:cs="Arial"/>
          <w:color w:val="000000"/>
          <w:sz w:val="24"/>
          <w:szCs w:val="24"/>
          <w:lang w:val="es-UY" w:eastAsia="es-UY"/>
        </w:rPr>
        <w:t>.</w:t>
      </w:r>
      <w:r w:rsidRPr="008319F8">
        <w:rPr>
          <w:rFonts w:ascii="Arial" w:eastAsia="Times New Roman" w:hAnsi="Arial" w:cs="Arial"/>
          <w:color w:val="000000"/>
          <w:sz w:val="24"/>
          <w:szCs w:val="24"/>
          <w:lang w:val="es-UY" w:eastAsia="es-UY"/>
        </w:rPr>
        <w:br/>
        <w:t>Duración total del curso: 6 horas y 20 minutos.</w:t>
      </w:r>
    </w:p>
    <w:p w14:paraId="65700A90" w14:textId="77777777" w:rsidR="008319F8" w:rsidRPr="008319F8" w:rsidRDefault="008319F8" w:rsidP="008319F8">
      <w:pPr>
        <w:spacing w:after="240" w:line="375" w:lineRule="atLeast"/>
        <w:jc w:val="both"/>
        <w:rPr>
          <w:rFonts w:ascii="Arial" w:eastAsia="Times New Roman" w:hAnsi="Arial" w:cs="Arial"/>
          <w:color w:val="000000"/>
          <w:sz w:val="24"/>
          <w:szCs w:val="24"/>
          <w:lang w:val="es-UY" w:eastAsia="es-UY"/>
        </w:rPr>
      </w:pPr>
      <w:r w:rsidRPr="008319F8">
        <w:rPr>
          <w:rFonts w:ascii="Arial" w:eastAsia="Times New Roman" w:hAnsi="Arial" w:cs="Arial"/>
          <w:b/>
          <w:bCs/>
          <w:i/>
          <w:iCs/>
          <w:color w:val="000000"/>
          <w:sz w:val="24"/>
          <w:szCs w:val="24"/>
          <w:lang w:val="es-UY" w:eastAsia="es-UY"/>
        </w:rPr>
        <w:t xml:space="preserve">Síntesis biográfica del Dr. Jacques </w:t>
      </w:r>
      <w:proofErr w:type="spellStart"/>
      <w:r w:rsidRPr="008319F8">
        <w:rPr>
          <w:rFonts w:ascii="Arial" w:eastAsia="Times New Roman" w:hAnsi="Arial" w:cs="Arial"/>
          <w:b/>
          <w:bCs/>
          <w:i/>
          <w:iCs/>
          <w:color w:val="000000"/>
          <w:sz w:val="24"/>
          <w:szCs w:val="24"/>
          <w:lang w:val="es-UY" w:eastAsia="es-UY"/>
        </w:rPr>
        <w:t>Mabit</w:t>
      </w:r>
      <w:proofErr w:type="spellEnd"/>
      <w:r w:rsidRPr="008319F8">
        <w:rPr>
          <w:rFonts w:ascii="Arial" w:eastAsia="Times New Roman" w:hAnsi="Arial" w:cs="Arial"/>
          <w:color w:val="000000"/>
          <w:sz w:val="24"/>
          <w:szCs w:val="24"/>
          <w:lang w:val="es-UY" w:eastAsia="es-UY"/>
        </w:rPr>
        <w:br/>
        <w:t>Doctor en Medicina de la Universidad de Medicina y Técnicas Medicales de Nantes (Francia), diplomado en Patología Tropical (IMT-</w:t>
      </w:r>
      <w:proofErr w:type="spellStart"/>
      <w:r w:rsidRPr="008319F8">
        <w:rPr>
          <w:rFonts w:ascii="Arial" w:eastAsia="Times New Roman" w:hAnsi="Arial" w:cs="Arial"/>
          <w:color w:val="000000"/>
          <w:sz w:val="24"/>
          <w:szCs w:val="24"/>
          <w:lang w:val="es-UY" w:eastAsia="es-UY"/>
        </w:rPr>
        <w:t>Anvers</w:t>
      </w:r>
      <w:proofErr w:type="spellEnd"/>
      <w:r w:rsidRPr="008319F8">
        <w:rPr>
          <w:rFonts w:ascii="Arial" w:eastAsia="Times New Roman" w:hAnsi="Arial" w:cs="Arial"/>
          <w:color w:val="000000"/>
          <w:sz w:val="24"/>
          <w:szCs w:val="24"/>
          <w:lang w:val="es-UY" w:eastAsia="es-UY"/>
        </w:rPr>
        <w:t xml:space="preserve">) y </w:t>
      </w:r>
      <w:proofErr w:type="spellStart"/>
      <w:r w:rsidRPr="008319F8">
        <w:rPr>
          <w:rFonts w:ascii="Arial" w:eastAsia="Times New Roman" w:hAnsi="Arial" w:cs="Arial"/>
          <w:color w:val="000000"/>
          <w:sz w:val="24"/>
          <w:szCs w:val="24"/>
          <w:lang w:val="es-UY" w:eastAsia="es-UY"/>
        </w:rPr>
        <w:t>Naturoterapia</w:t>
      </w:r>
      <w:proofErr w:type="spellEnd"/>
      <w:r w:rsidRPr="008319F8">
        <w:rPr>
          <w:rFonts w:ascii="Arial" w:eastAsia="Times New Roman" w:hAnsi="Arial" w:cs="Arial"/>
          <w:color w:val="000000"/>
          <w:sz w:val="24"/>
          <w:szCs w:val="24"/>
          <w:lang w:val="es-UY" w:eastAsia="es-UY"/>
        </w:rPr>
        <w:t xml:space="preserve"> (</w:t>
      </w:r>
      <w:proofErr w:type="spellStart"/>
      <w:r w:rsidRPr="008319F8">
        <w:rPr>
          <w:rFonts w:ascii="Arial" w:eastAsia="Times New Roman" w:hAnsi="Arial" w:cs="Arial"/>
          <w:color w:val="000000"/>
          <w:sz w:val="24"/>
          <w:szCs w:val="24"/>
          <w:lang w:val="es-UY" w:eastAsia="es-UY"/>
        </w:rPr>
        <w:t>Uni</w:t>
      </w:r>
      <w:proofErr w:type="spellEnd"/>
      <w:r w:rsidRPr="008319F8">
        <w:rPr>
          <w:rFonts w:ascii="Arial" w:eastAsia="Times New Roman" w:hAnsi="Arial" w:cs="Arial"/>
          <w:color w:val="000000"/>
          <w:sz w:val="24"/>
          <w:szCs w:val="24"/>
          <w:lang w:val="es-UY" w:eastAsia="es-UY"/>
        </w:rPr>
        <w:t xml:space="preserve">. París XIII). Miembro honorario de la Asociación de Psicólogos del Perú, Profesor extraordinario de la Universidad Científica del Sur (Lima, Perú). Miembro del directorio del departamento de Psiquiatría Transcultural de la Asociación Psiquiátrica Peruana. </w:t>
      </w:r>
      <w:proofErr w:type="spellStart"/>
      <w:r w:rsidRPr="008319F8">
        <w:rPr>
          <w:rFonts w:ascii="Arial" w:eastAsia="Times New Roman" w:hAnsi="Arial" w:cs="Arial"/>
          <w:color w:val="000000"/>
          <w:sz w:val="24"/>
          <w:szCs w:val="24"/>
          <w:lang w:val="es-UY" w:eastAsia="es-UY"/>
        </w:rPr>
        <w:t>Fellow</w:t>
      </w:r>
      <w:proofErr w:type="spellEnd"/>
      <w:r w:rsidRPr="008319F8">
        <w:rPr>
          <w:rFonts w:ascii="Arial" w:eastAsia="Times New Roman" w:hAnsi="Arial" w:cs="Arial"/>
          <w:color w:val="000000"/>
          <w:sz w:val="24"/>
          <w:szCs w:val="24"/>
          <w:lang w:val="es-UY" w:eastAsia="es-UY"/>
        </w:rPr>
        <w:t xml:space="preserve"> de la Fundación Ashoka, Miembro asociado de la Asociación de Psicoanalistas Europeos. </w:t>
      </w:r>
      <w:proofErr w:type="spellStart"/>
      <w:proofErr w:type="gramStart"/>
      <w:r w:rsidRPr="008319F8">
        <w:rPr>
          <w:rFonts w:ascii="Arial" w:eastAsia="Times New Roman" w:hAnsi="Arial" w:cs="Arial"/>
          <w:color w:val="000000"/>
          <w:sz w:val="24"/>
          <w:szCs w:val="24"/>
          <w:lang w:val="es-UY" w:eastAsia="es-UY"/>
        </w:rPr>
        <w:t>Co-fundador</w:t>
      </w:r>
      <w:proofErr w:type="spellEnd"/>
      <w:proofErr w:type="gramEnd"/>
      <w:r w:rsidRPr="008319F8">
        <w:rPr>
          <w:rFonts w:ascii="Arial" w:eastAsia="Times New Roman" w:hAnsi="Arial" w:cs="Arial"/>
          <w:color w:val="000000"/>
          <w:sz w:val="24"/>
          <w:szCs w:val="24"/>
          <w:lang w:val="es-UY" w:eastAsia="es-UY"/>
        </w:rPr>
        <w:t xml:space="preserve"> (1986), </w:t>
      </w:r>
      <w:proofErr w:type="spellStart"/>
      <w:r w:rsidRPr="008319F8">
        <w:rPr>
          <w:rFonts w:ascii="Arial" w:eastAsia="Times New Roman" w:hAnsi="Arial" w:cs="Arial"/>
          <w:color w:val="000000"/>
          <w:sz w:val="24"/>
          <w:szCs w:val="24"/>
          <w:lang w:val="es-UY" w:eastAsia="es-UY"/>
        </w:rPr>
        <w:t>vice-presidente</w:t>
      </w:r>
      <w:proofErr w:type="spellEnd"/>
      <w:r w:rsidRPr="008319F8">
        <w:rPr>
          <w:rFonts w:ascii="Arial" w:eastAsia="Times New Roman" w:hAnsi="Arial" w:cs="Arial"/>
          <w:color w:val="000000"/>
          <w:sz w:val="24"/>
          <w:szCs w:val="24"/>
          <w:lang w:val="es-UY" w:eastAsia="es-UY"/>
        </w:rPr>
        <w:t xml:space="preserve"> (1986-1989) y presidente (2012-2016) del Consejo Interamericano Sobre la Espiritualidad Indígena (CISEI).</w:t>
      </w:r>
    </w:p>
    <w:p w14:paraId="16522E47"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F8"/>
    <w:rsid w:val="002E2F5B"/>
    <w:rsid w:val="008319F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4DB8"/>
  <w15:chartTrackingRefBased/>
  <w15:docId w15:val="{1FCB496C-35F9-4632-93C7-A6CFBECF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5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kiwasi.com/es/tienda-prod.php?cod=34&amp;cat=videos" TargetMode="External"/><Relationship Id="rId5" Type="http://schemas.openxmlformats.org/officeDocument/2006/relationships/image" Target="media/image1.png"/><Relationship Id="rId4" Type="http://schemas.openxmlformats.org/officeDocument/2006/relationships/hyperlink" Target="https://takiwasi.com/es/tienda-prod.php?cod=34&amp;cat=vide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2313</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2021-05-18T13:27:00Z</dcterms:created>
  <dcterms:modified xsi:type="dcterms:W3CDTF">2021-05-18T13:28:00Z</dcterms:modified>
</cp:coreProperties>
</file>