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2E8B" w14:textId="77777777" w:rsidR="00655958" w:rsidRPr="00655958" w:rsidRDefault="00655958" w:rsidP="009E3D22">
      <w:pPr>
        <w:shd w:val="clear" w:color="auto" w:fill="F9F9F9"/>
        <w:spacing w:before="100" w:beforeAutospacing="1" w:after="48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</w:pPr>
      <w:r w:rsidRPr="00655958"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  <w:t>Guatemala bicentenaria. Los pueblos denuncian: “200 años de robo, saqueo y asesinatos”</w:t>
      </w:r>
    </w:p>
    <w:p w14:paraId="31F556D9" w14:textId="77777777" w:rsidR="00655958" w:rsidRPr="00655958" w:rsidRDefault="00655958" w:rsidP="00655958">
      <w:pPr>
        <w:shd w:val="clear" w:color="auto" w:fill="F9F9F9"/>
        <w:spacing w:before="24" w:after="150" w:line="336" w:lineRule="atLeast"/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El mensaje oficial y el mensaje de las comunidades en resistencia, sintetiza no sólo el desencuentro entre Estado y pueblos, sino el desafío pendiente de la emancipación y del surgimiento de un Estado plurinacional en Guatemala.</w:t>
      </w:r>
    </w:p>
    <w:p w14:paraId="2C11A032" w14:textId="77777777" w:rsidR="00655958" w:rsidRPr="00655958" w:rsidRDefault="00655958" w:rsidP="00655958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870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hyperlink r:id="rId5" w:history="1">
        <w:r w:rsidRPr="00655958">
          <w:rPr>
            <w:rFonts w:ascii="Trebuchet MS" w:eastAsia="Times New Roman" w:hAnsi="Trebuchet MS" w:cs="Times New Roman"/>
            <w:i/>
            <w:iCs/>
            <w:color w:val="DE0000"/>
            <w:sz w:val="27"/>
            <w:szCs w:val="27"/>
            <w:u w:val="single"/>
            <w:lang w:val="es-UY" w:eastAsia="es-UY"/>
          </w:rPr>
          <w:t xml:space="preserve">Ollantay </w:t>
        </w:r>
        <w:proofErr w:type="spellStart"/>
        <w:r w:rsidRPr="00655958">
          <w:rPr>
            <w:rFonts w:ascii="Trebuchet MS" w:eastAsia="Times New Roman" w:hAnsi="Trebuchet MS" w:cs="Times New Roman"/>
            <w:i/>
            <w:iCs/>
            <w:color w:val="DE0000"/>
            <w:sz w:val="27"/>
            <w:szCs w:val="27"/>
            <w:u w:val="single"/>
            <w:lang w:val="es-UY" w:eastAsia="es-UY"/>
          </w:rPr>
          <w:t>Itzamná</w:t>
        </w:r>
        <w:proofErr w:type="spellEnd"/>
      </w:hyperlink>
    </w:p>
    <w:p w14:paraId="3B3B5E14" w14:textId="77777777" w:rsidR="00655958" w:rsidRPr="00655958" w:rsidRDefault="00655958" w:rsidP="00655958">
      <w:pPr>
        <w:shd w:val="clear" w:color="auto" w:fill="F9F9F9"/>
        <w:spacing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25/06/2021</w:t>
      </w:r>
    </w:p>
    <w:p w14:paraId="5C779790" w14:textId="0B720A13" w:rsidR="00655958" w:rsidRPr="00655958" w:rsidRDefault="00655958" w:rsidP="00655958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drawing>
          <wp:inline distT="0" distB="0" distL="0" distR="0" wp14:anchorId="30F92158" wp14:editId="6080FE68">
            <wp:extent cx="4762500" cy="3171825"/>
            <wp:effectExtent l="0" t="0" r="0" b="9525"/>
            <wp:docPr id="1" name="Imagen 1" descr="Un grupo de personas haciendo gestos con la ca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grupo de personas haciendo gestos con la cara de una persona&#10;&#10;Descripción generada automáticamente con confianza medi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D2CD4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Guatemala, al igual que varios países de </w:t>
      </w:r>
      <w:proofErr w:type="spellStart"/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Abya</w:t>
      </w:r>
      <w:proofErr w:type="spellEnd"/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Yala, celebra en el 2021 el bicentenario de su independencia (1821). El Gobierno actual y las instituciones públicas, desde el 15 de septiembre del 2020, tímidamente refieren a este “cumpleaños triste” (en palabras de Eduardo Villagrán) en sus discursos… porque ¡no hay mucho que celebrar!</w:t>
      </w:r>
    </w:p>
    <w:p w14:paraId="7CED90D0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40D9668F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 las comunidades indígenas y campesinas organizadas en resistencia frente a los abusos de las empresas y del Estado, las y los lugareños siembran vallas visibles con el mensaje de: “200 años de robo, saqueo y asesinatos”, y los difunden en sus redes sociales.</w:t>
      </w:r>
    </w:p>
    <w:p w14:paraId="6F406479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145B5EB6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lastRenderedPageBreak/>
        <w:t>El mensaje oficial del Estado y el mensaje de las comunidades en resistencia, sobre los doscientos años de Guatemala como país, sintetiza no sólo el desencuentro entre Estado y pueblos, sino el desafío pendiente de la emancipación y del surgimiento de un Estado real en Guatemala.</w:t>
      </w:r>
    </w:p>
    <w:p w14:paraId="104D1D33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7965E007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 el “Acta de Independencia” de Guatemala, aparece escrita la intención última de la élite criolla que en 1821 se resistía a pagar tributos a la metrópoli: “Declarar la independencia de Guatemala antes que los pueblos se declaren independientes”. Así como lo lee.</w:t>
      </w:r>
    </w:p>
    <w:p w14:paraId="545056B7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291B9328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¡Jamás hubo intención de emancipar a los pueblos de Guatemala, tampoco de construir un Estado real! Los criollos crearon el Estado de Guatemala únicamente para “evitar pagar impuestos, utilizar el Estado aparente para acrecentar su capital, y exprimir a los pueblos indígenas y campesinos mediante tributos y trabajo forzado republicano”.</w:t>
      </w:r>
    </w:p>
    <w:p w14:paraId="21E935DB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0AC3E19D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Bicentenario del libertinaje criollo</w:t>
      </w:r>
    </w:p>
    <w:p w14:paraId="17B2E95A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45AEE6B4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Dos siglos después de la “independencia” en Guatemala, se constata que: unos pocos vuelan y la gran mayoría se arrastra por el suelo. Sí, así como lee.</w:t>
      </w:r>
    </w:p>
    <w:p w14:paraId="61D56C64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53AC32D6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El bicentenario sirvió para configurar y materializar una Guatemala más </w:t>
      </w:r>
      <w:proofErr w:type="spellStart"/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estamentaria</w:t>
      </w:r>
      <w:proofErr w:type="spellEnd"/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y castiza que las mismas monarquías de la Edad Media de Europa.</w:t>
      </w:r>
    </w:p>
    <w:p w14:paraId="102714E9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4659E7F7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Los más ricos del país, quienes controlan los cerca de 70 mil millones de dólares del Producto Interno Bruto, no utilizan las carreteras maltrechas del país. Sólo viajan en avionetas o helicópteros privados, incluso en la ciudad capital. Mientras, la gran mayoría del país no tiene ni para una bicicleta, y las clases medias (con tarjetas de crédito) mal viven para pagar deudas.</w:t>
      </w:r>
    </w:p>
    <w:p w14:paraId="0224C6DA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57ED3DAF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Aquí, la élite criolla manda hacer leyes obligatorias para sus plebeyos, y los impone utilizando el aparato estatal, militar y religioso. En eso consiste la “libertad bicentenaria”.</w:t>
      </w:r>
    </w:p>
    <w:p w14:paraId="43644E06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7A1218CA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El colonialismo durante la República es más letal que en la Colonia</w:t>
      </w:r>
    </w:p>
    <w:p w14:paraId="234DEAB5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7F31D5D3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Si durante la Colonia española, los emisarios del Rey en Guatemala organizaron a los pueblos originarios en cerca de 520 pueblos indios (algo parecido a las “reducciones” indígenas) para proveerse mano de obra para las haciendas y del pago del impuesto a la Corona, la República bicentenaria se organizó y construyó despojando los territorios comunales de los pueblos, exprimiéndolos con trabajo forzado, e imponiéndoles impuestos obligatorios a las clases populares y la clase media. La exoneración de impuestos a los ricos fue una constante republicana en el bicentenario Estado criollo.</w:t>
      </w:r>
    </w:p>
    <w:p w14:paraId="35E50912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2E99D679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 la República, se maltrata como “indios” ya no sólo a las y los originarios, sino también a la población mestiza autoempleada o sobre explotada laboralmente y amarrada a tarjetas de crédito a perpetuidad.</w:t>
      </w:r>
    </w:p>
    <w:p w14:paraId="5EC5BF1D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6341AF99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Estado plurinacional, un desafío pendiente</w:t>
      </w:r>
    </w:p>
    <w:p w14:paraId="69FA6848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467F7AFB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Ante esta realidad, y en pleno bicentenario de la República criolla, las y los sobrevivientes de las dos colonizaciones, organizados en comunidades en resistencia desde el área rural, no sólo protestan sembrando vallas contra el bicentenario del despojo y aniquilación republicana, sino también impulsan y plantean la urgente necesidad de realizar un proceso constituyente popular y plurinacional para la construcción del Estado Plurinacional, y así restaurar los buenos vivires de los pueblos.</w:t>
      </w:r>
    </w:p>
    <w:p w14:paraId="239DCD72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77DF5538" w14:textId="77777777" w:rsidR="00655958" w:rsidRPr="00655958" w:rsidRDefault="00655958" w:rsidP="00655958">
      <w:pPr>
        <w:shd w:val="clear" w:color="auto" w:fill="FFFFFF"/>
        <w:spacing w:before="24" w:after="48" w:line="240" w:lineRule="auto"/>
        <w:jc w:val="both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Esta propuesta, que avanza desde el área rural hacia los bolsones urbanos, es un desafío para toda la población de Guatemala. Se pudo sobrevivir a tres siglos de saqueo, se pudo aguantar dos siglos más de colonialismo interno criollo, pero no hay vida capaz de sobrevivir eternamente al despojo y la anulación.</w:t>
      </w:r>
    </w:p>
    <w:p w14:paraId="4DD53822" w14:textId="77777777" w:rsidR="00655958" w:rsidRPr="00655958" w:rsidRDefault="00655958" w:rsidP="00655958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07D754AF" w14:textId="77777777" w:rsidR="00655958" w:rsidRPr="00655958" w:rsidRDefault="00655958" w:rsidP="00655958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hyperlink r:id="rId7" w:history="1">
        <w:r w:rsidRPr="00655958">
          <w:rPr>
            <w:rFonts w:ascii="Trebuchet MS" w:eastAsia="Times New Roman" w:hAnsi="Trebuchet MS" w:cs="Times New Roman"/>
            <w:b/>
            <w:bCs/>
            <w:color w:val="4D5C7D"/>
            <w:sz w:val="27"/>
            <w:szCs w:val="27"/>
            <w:u w:val="single"/>
            <w:lang w:val="es-UY" w:eastAsia="es-UY"/>
          </w:rPr>
          <w:t xml:space="preserve">Ollantay </w:t>
        </w:r>
        <w:proofErr w:type="spellStart"/>
        <w:r w:rsidRPr="00655958">
          <w:rPr>
            <w:rFonts w:ascii="Trebuchet MS" w:eastAsia="Times New Roman" w:hAnsi="Trebuchet MS" w:cs="Times New Roman"/>
            <w:b/>
            <w:bCs/>
            <w:color w:val="4D5C7D"/>
            <w:sz w:val="27"/>
            <w:szCs w:val="27"/>
            <w:u w:val="single"/>
            <w:lang w:val="es-UY" w:eastAsia="es-UY"/>
          </w:rPr>
          <w:t>Itzamná</w:t>
        </w:r>
        <w:proofErr w:type="spellEnd"/>
        <w:r w:rsidRPr="00655958">
          <w:rPr>
            <w:rFonts w:ascii="Trebuchet MS" w:eastAsia="Times New Roman" w:hAnsi="Trebuchet MS" w:cs="Times New Roman"/>
            <w:b/>
            <w:bCs/>
            <w:color w:val="4D5C7D"/>
            <w:sz w:val="27"/>
            <w:szCs w:val="27"/>
            <w:u w:val="single"/>
            <w:lang w:val="es-UY" w:eastAsia="es-UY"/>
          </w:rPr>
          <w:t> </w:t>
        </w:r>
      </w:hyperlink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es Defensor de Derechos de la Madre Tierra y Derechos Humanos desde </w:t>
      </w:r>
      <w:proofErr w:type="spellStart"/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Abya</w:t>
      </w:r>
      <w:proofErr w:type="spellEnd"/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Yala</w:t>
      </w:r>
    </w:p>
    <w:p w14:paraId="6AD8795D" w14:textId="77777777" w:rsidR="00655958" w:rsidRPr="00655958" w:rsidRDefault="00655958" w:rsidP="00655958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0DB4E30B" w14:textId="77777777" w:rsidR="00655958" w:rsidRPr="00655958" w:rsidRDefault="00655958" w:rsidP="00655958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hyperlink r:id="rId8" w:tgtFrame="_blank" w:history="1">
        <w:r w:rsidRPr="00655958">
          <w:rPr>
            <w:rFonts w:ascii="Trebuchet MS" w:eastAsia="Times New Roman" w:hAnsi="Trebuchet MS" w:cs="Times New Roman"/>
            <w:color w:val="4D5C7D"/>
            <w:sz w:val="27"/>
            <w:szCs w:val="27"/>
            <w:u w:val="single"/>
            <w:lang w:val="es-UY" w:eastAsia="es-UY"/>
          </w:rPr>
          <w:t>https://ollantayitzamna.com/</w:t>
        </w:r>
      </w:hyperlink>
    </w:p>
    <w:p w14:paraId="6F76D304" w14:textId="77777777" w:rsidR="00655958" w:rsidRPr="00655958" w:rsidRDefault="00655958" w:rsidP="00655958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3C8A3F3B" w14:textId="77777777" w:rsidR="00655958" w:rsidRPr="00655958" w:rsidRDefault="00655958" w:rsidP="00655958">
      <w:pPr>
        <w:shd w:val="clear" w:color="auto" w:fill="FFFFFF"/>
        <w:spacing w:before="24"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1EA8A12A" w14:textId="77777777" w:rsidR="00655958" w:rsidRPr="00655958" w:rsidRDefault="00655958" w:rsidP="00655958">
      <w:pPr>
        <w:shd w:val="clear" w:color="auto" w:fill="F9F9F9"/>
        <w:spacing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655958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https://www.alainet.org/es/articulo/212812</w:t>
      </w:r>
    </w:p>
    <w:p w14:paraId="38B83A2A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F027A"/>
    <w:multiLevelType w:val="multilevel"/>
    <w:tmpl w:val="4660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CA7EBF"/>
    <w:multiLevelType w:val="multilevel"/>
    <w:tmpl w:val="88D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FF10A0"/>
    <w:multiLevelType w:val="multilevel"/>
    <w:tmpl w:val="DBC6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58"/>
    <w:rsid w:val="002E2F5B"/>
    <w:rsid w:val="00655958"/>
    <w:rsid w:val="009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91E8"/>
  <w15:chartTrackingRefBased/>
  <w15:docId w15:val="{849F8EBE-D619-48C2-89B2-32657DE3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918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9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326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53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041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726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972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17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660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48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99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8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479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23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538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149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992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4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34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632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820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84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689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956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lantayitzamn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ainet.org/es/articulo/@Jubenal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lainet.org/es/autores/ollantay-itzamn%C3%A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3</cp:revision>
  <dcterms:created xsi:type="dcterms:W3CDTF">2021-06-28T12:24:00Z</dcterms:created>
  <dcterms:modified xsi:type="dcterms:W3CDTF">2021-06-28T12:26:00Z</dcterms:modified>
</cp:coreProperties>
</file>