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CDA9" w14:textId="77777777" w:rsidR="00395D7A" w:rsidRPr="00395D7A" w:rsidRDefault="00395D7A" w:rsidP="00395D7A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</w:pPr>
      <w:proofErr w:type="spellStart"/>
      <w:r w:rsidRPr="00395D7A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Articulação</w:t>
      </w:r>
      <w:proofErr w:type="spellEnd"/>
      <w:r w:rsidRPr="00395D7A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de Comunidades e </w:t>
      </w:r>
      <w:proofErr w:type="spellStart"/>
      <w:r w:rsidRPr="00395D7A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sinodalidade</w:t>
      </w:r>
      <w:proofErr w:type="spellEnd"/>
    </w:p>
    <w:p w14:paraId="6E1DBE35" w14:textId="7E4DA186" w:rsidR="00395D7A" w:rsidRPr="00395D7A" w:rsidRDefault="00395D7A" w:rsidP="00395D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</w:pPr>
      <w:hyperlink r:id="rId5" w:tooltip="Portal das CEBs" w:history="1">
        <w:r w:rsidRPr="00395D7A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bdr w:val="none" w:sz="0" w:space="0" w:color="auto" w:frame="1"/>
            <w:lang w:val="es-UY" w:eastAsia="es-UY"/>
          </w:rPr>
          <w:t>Portal das CEBs</w:t>
        </w:r>
      </w:hyperlink>
      <w:r w:rsidRPr="00395D7A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395D7A">
          <w:rPr>
            <w:rFonts w:ascii="Times New Roman" w:eastAsia="Times New Roman" w:hAnsi="Times New Roman" w:cs="Times New Roman"/>
            <w:color w:val="333333"/>
            <w:sz w:val="18"/>
            <w:szCs w:val="18"/>
            <w:bdr w:val="none" w:sz="0" w:space="0" w:color="auto" w:frame="1"/>
            <w:lang w:val="es-UY" w:eastAsia="es-UY"/>
          </w:rPr>
          <w:t> </w:t>
        </w:r>
      </w:hyperlink>
      <w:r w:rsidRPr="00395D7A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</w:p>
    <w:p w14:paraId="0616F417" w14:textId="033A9170" w:rsidR="00395D7A" w:rsidRPr="00395D7A" w:rsidRDefault="00395D7A" w:rsidP="00395D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</w:p>
    <w:p w14:paraId="399EBB25" w14:textId="77777777" w:rsidR="00395D7A" w:rsidRPr="00395D7A" w:rsidRDefault="00395D7A" w:rsidP="00395D7A">
      <w:pPr>
        <w:spacing w:after="0" w:line="240" w:lineRule="auto"/>
        <w:jc w:val="right"/>
        <w:outlineLvl w:val="2"/>
        <w:rPr>
          <w:rFonts w:ascii="Segoe UI" w:eastAsia="Times New Roman" w:hAnsi="Segoe UI" w:cs="Segoe UI"/>
          <w:b/>
          <w:bCs/>
          <w:color w:val="C00000"/>
          <w:sz w:val="28"/>
          <w:szCs w:val="28"/>
          <w:lang w:val="es-UY" w:eastAsia="es-UY"/>
        </w:rPr>
      </w:pPr>
      <w:r w:rsidRPr="00395D7A">
        <w:rPr>
          <w:rFonts w:ascii="Segoe UI" w:eastAsia="Times New Roman" w:hAnsi="Segoe UI" w:cs="Segoe UI"/>
          <w:b/>
          <w:bCs/>
          <w:i/>
          <w:iCs/>
          <w:color w:val="C00000"/>
          <w:sz w:val="28"/>
          <w:szCs w:val="28"/>
          <w:bdr w:val="none" w:sz="0" w:space="0" w:color="auto" w:frame="1"/>
          <w:lang w:val="es-UY" w:eastAsia="es-UY"/>
        </w:rPr>
        <w:t xml:space="preserve">Por </w:t>
      </w:r>
      <w:proofErr w:type="spellStart"/>
      <w:r w:rsidRPr="00395D7A">
        <w:rPr>
          <w:rFonts w:ascii="Segoe UI" w:eastAsia="Times New Roman" w:hAnsi="Segoe UI" w:cs="Segoe UI"/>
          <w:b/>
          <w:bCs/>
          <w:i/>
          <w:iCs/>
          <w:color w:val="C00000"/>
          <w:sz w:val="28"/>
          <w:szCs w:val="28"/>
          <w:bdr w:val="none" w:sz="0" w:space="0" w:color="auto" w:frame="1"/>
          <w:lang w:val="es-UY" w:eastAsia="es-UY"/>
        </w:rPr>
        <w:t>Hermínia</w:t>
      </w:r>
      <w:proofErr w:type="spellEnd"/>
      <w:r w:rsidRPr="00395D7A">
        <w:rPr>
          <w:rFonts w:ascii="Segoe UI" w:eastAsia="Times New Roman" w:hAnsi="Segoe UI" w:cs="Segoe UI"/>
          <w:b/>
          <w:bCs/>
          <w:i/>
          <w:iCs/>
          <w:color w:val="C00000"/>
          <w:sz w:val="28"/>
          <w:szCs w:val="28"/>
          <w:bdr w:val="none" w:sz="0" w:space="0" w:color="auto" w:frame="1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b/>
          <w:bCs/>
          <w:i/>
          <w:iCs/>
          <w:color w:val="C00000"/>
          <w:sz w:val="28"/>
          <w:szCs w:val="28"/>
          <w:bdr w:val="none" w:sz="0" w:space="0" w:color="auto" w:frame="1"/>
          <w:lang w:val="es-UY" w:eastAsia="es-UY"/>
        </w:rPr>
        <w:t>Boudens</w:t>
      </w:r>
      <w:proofErr w:type="spellEnd"/>
    </w:p>
    <w:p w14:paraId="197E5B67" w14:textId="77777777" w:rsidR="00395D7A" w:rsidRPr="00395D7A" w:rsidRDefault="00395D7A" w:rsidP="00395D7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atrás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professor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psicologia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Universidade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Pernambuco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entrou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contato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comigo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Sabendo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faço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parte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Coordenação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Fundação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Santuário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Comunidades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Eclesiais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Base do Agreste de Pernambuco, ele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sugeriu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promover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estudantes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conversa,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live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“em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”, para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contribuir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protagonismo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autonomia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jovens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lideranças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etc.</w:t>
      </w:r>
    </w:p>
    <w:p w14:paraId="1F85338B" w14:textId="77777777" w:rsidR="00395D7A" w:rsidRPr="00395D7A" w:rsidRDefault="00395D7A" w:rsidP="00395D7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companheiro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caminhada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comentou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comigo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ele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procurado por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pesquisador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conhecer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Eclesial de Base, para saber </w:t>
      </w:r>
      <w:proofErr w:type="gram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sentir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pele como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funcionava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tal de CEB,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vez que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coisa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parecia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articulada e organizada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nível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regional e até nacional.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era fácil indicar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!</w:t>
      </w:r>
    </w:p>
    <w:p w14:paraId="54172D04" w14:textId="77777777" w:rsidR="00395D7A" w:rsidRPr="00395D7A" w:rsidRDefault="00395D7A" w:rsidP="00395D7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poucos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padre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abordou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comigo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inquietação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o que se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estancar o aumento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assustador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extrema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igreja. </w:t>
      </w:r>
    </w:p>
    <w:p w14:paraId="1826E446" w14:textId="77777777" w:rsidR="00395D7A" w:rsidRPr="00395D7A" w:rsidRDefault="00395D7A" w:rsidP="00395D7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E, por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ISER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Assessoria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[Portal das CEBs]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publicou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hyperlink r:id="rId7" w:tgtFrame="_blank" w:history="1"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 xml:space="preserve">artigo de Solange </w:t>
        </w:r>
        <w:proofErr w:type="spellStart"/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>Rodrigues</w:t>
        </w:r>
        <w:proofErr w:type="spellEnd"/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 xml:space="preserve"> sobre a </w:t>
        </w:r>
        <w:proofErr w:type="spellStart"/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>articulação</w:t>
        </w:r>
        <w:proofErr w:type="spellEnd"/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 xml:space="preserve"> das CEBs </w:t>
        </w:r>
        <w:proofErr w:type="spellStart"/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>na</w:t>
        </w:r>
        <w:proofErr w:type="spellEnd"/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 xml:space="preserve"> </w:t>
        </w:r>
        <w:proofErr w:type="spellStart"/>
        <w:r w:rsidRPr="00395D7A">
          <w:rPr>
            <w:rFonts w:ascii="Segoe UI" w:eastAsia="Times New Roman" w:hAnsi="Segoe UI" w:cs="Segoe UI"/>
            <w:color w:val="BA2539"/>
            <w:sz w:val="23"/>
            <w:szCs w:val="23"/>
            <w:bdr w:val="none" w:sz="0" w:space="0" w:color="auto" w:frame="1"/>
            <w:lang w:val="es-UY" w:eastAsia="es-UY"/>
          </w:rPr>
          <w:t>atualidade</w:t>
        </w:r>
        <w:proofErr w:type="spellEnd"/>
      </w:hyperlink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mostrando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altíssimo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índice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articulação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(88%)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nível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nacional.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excelente artigo.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Minhas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aqui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apenas ser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contribuição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debate que se faz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necessário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27100189" w14:textId="77777777" w:rsidR="00395D7A" w:rsidRPr="00395D7A" w:rsidRDefault="00395D7A" w:rsidP="00395D7A">
      <w:pPr>
        <w:numPr>
          <w:ilvl w:val="0"/>
          <w:numId w:val="1"/>
        </w:numPr>
        <w:spacing w:after="0" w:line="390" w:lineRule="atLeast"/>
        <w:ind w:left="1020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segredo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ninguém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articulações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CEBs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perdendo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já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perderam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motivo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existência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As comunidades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paroquiais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grande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auto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nomeiam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identificam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CEBs, mesmo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ainda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tendo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caraterística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CEBs. É legitimo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perguntar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quê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Equipes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Comissões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locais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Articulação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articulando.  </w:t>
      </w:r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br/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minha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membros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Equipe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Articulação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Comunidades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têm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todos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experiência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vivência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Eclesial de Base no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articulação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jovens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conselhos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municipais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jovens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escolas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públicas,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grupos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culturais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algumas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pastorais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sim,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paroquiais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definidas como CEBs.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Fazemos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articulação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principalmente para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oferecer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formação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lideranças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em diversas áreas: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bíblia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cultura popular – conjuntura política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humanos &amp;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cidadania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apicultura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horta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orgânica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saúde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integral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juventude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popular. E conseguimos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porque a Equipe se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constituiu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CNPJ e se chama Núcleo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Assessoria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Populares.</w:t>
      </w:r>
    </w:p>
    <w:p w14:paraId="2C17AFC6" w14:textId="77777777" w:rsidR="00395D7A" w:rsidRPr="00395D7A" w:rsidRDefault="00395D7A" w:rsidP="00395D7A">
      <w:pPr>
        <w:numPr>
          <w:ilvl w:val="0"/>
          <w:numId w:val="1"/>
        </w:numPr>
        <w:spacing w:after="75" w:line="390" w:lineRule="atLeast"/>
        <w:ind w:left="1020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Nos últimos tempos (30 – 40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!)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todos </w:t>
      </w:r>
      <w:proofErr w:type="gram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focamos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formação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autonomia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sustentabilidade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Comunidades como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eixos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estruturantes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Beleza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encontros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seminários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estudos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feitos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resultados excelentes, principalmente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formação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crescidas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lutando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Mas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autonomia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sustentabilidade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resultados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mínimos: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CEBs que se auto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sustentam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 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e/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paróquias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rede de Comunidades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têm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transparência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decisões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conjuntas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finanças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Existem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redes de CEBs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CNPJ,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apoio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em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dioceses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O que entendemos por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autonomia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sustentabilidade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bastante infantil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resume à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existência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caixa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! </w:t>
      </w:r>
    </w:p>
    <w:p w14:paraId="23BF11F4" w14:textId="77777777" w:rsidR="00395D7A" w:rsidRPr="00395D7A" w:rsidRDefault="00395D7A" w:rsidP="00395D7A">
      <w:pPr>
        <w:numPr>
          <w:ilvl w:val="0"/>
          <w:numId w:val="1"/>
        </w:numPr>
        <w:spacing w:after="75" w:line="390" w:lineRule="atLeast"/>
        <w:ind w:left="1020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Católica está iniciando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sinodalidade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sobre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sinodal, se inspirando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primeiras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caminhavam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juntas,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tomavam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decisões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incluíam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diversidade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partilhavam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igualitárias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homens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As CEBs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vivenciaram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sinodalidade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desde cedo. O problema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CEBs, é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estrutura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Igreja,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sinodal,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preza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igualitárias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grande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está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atrelada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poder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estrutura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oferece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saber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sinodalidade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 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Apesar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esforços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poucos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regem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mudança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estrutural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rápida.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vai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depender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sucessão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Papa Francisco…,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“simples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leigos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/as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mortais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nenhuma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nenhuma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influência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</w:p>
    <w:p w14:paraId="74207B01" w14:textId="77777777" w:rsidR="00395D7A" w:rsidRPr="00395D7A" w:rsidRDefault="00395D7A" w:rsidP="00395D7A">
      <w:pPr>
        <w:numPr>
          <w:ilvl w:val="0"/>
          <w:numId w:val="1"/>
        </w:numPr>
        <w:spacing w:after="75" w:line="390" w:lineRule="atLeast"/>
        <w:ind w:left="1020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Nada fica para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sempre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fim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transforma.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sejamos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transformação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todos/as,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medo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futuro inseguro.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pessimista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Pelo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contrário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Vejo por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exemplo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nova rede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articulação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surgindo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Centro Nacional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Política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Hélder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Câmara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– CEFEP.  </w:t>
      </w:r>
    </w:p>
    <w:p w14:paraId="1D1BCC80" w14:textId="77777777" w:rsidR="00395D7A" w:rsidRPr="00395D7A" w:rsidRDefault="00395D7A" w:rsidP="00395D7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Estamos no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mês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considerado vocacional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eu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costumo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São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sinodal,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libertador,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abertos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diversidade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talentos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sabedorias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voltados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sofrem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humildes em estilo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enorme potencial para contribuir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transformação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verdadeiramente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saída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voltada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os pobres. São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encaixam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clericalismo </w:t>
      </w:r>
      <w:proofErr w:type="gram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triunfalismo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menos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teologia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prosperidade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Se a igreja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quiser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perder tantas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vocações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vai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ter que mudar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estrutura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maneira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radical. 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perdem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vocação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igreja pode perder as </w:t>
      </w:r>
      <w:proofErr w:type="spellStart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395D7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…</w:t>
      </w:r>
    </w:p>
    <w:p w14:paraId="4E811D25" w14:textId="382A886E" w:rsidR="002E2F5B" w:rsidRDefault="00395D7A">
      <w:hyperlink r:id="rId8" w:history="1">
        <w:r w:rsidRPr="00915A2A">
          <w:rPr>
            <w:rStyle w:val="Hipervnculo"/>
          </w:rPr>
          <w:t>https://portaldascebs.org.br/2021/08/05/articulacao-de-comunidades-e-sinodalidade/</w:t>
        </w:r>
      </w:hyperlink>
    </w:p>
    <w:p w14:paraId="7BD66948" w14:textId="77777777" w:rsidR="00395D7A" w:rsidRDefault="00395D7A"/>
    <w:sectPr w:rsidR="00395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269BA"/>
    <w:multiLevelType w:val="multilevel"/>
    <w:tmpl w:val="8E08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A"/>
    <w:rsid w:val="002E2F5B"/>
    <w:rsid w:val="003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B1FF"/>
  <w15:chartTrackingRefBased/>
  <w15:docId w15:val="{31E8A909-A8E3-4320-8A43-14EFBC5F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5D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5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2021/08/05/articulacao-de-comunidades-e-sinodalida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2021/08/02/a-articulacao-de-cebs-na-atualid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2021-08-12T12:03:00Z</dcterms:created>
  <dcterms:modified xsi:type="dcterms:W3CDTF">2021-08-12T12:04:00Z</dcterms:modified>
</cp:coreProperties>
</file>